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2AE9" w:rsidRPr="009B1920" w:rsidRDefault="00A02AE9" w:rsidP="00A02AE9">
      <w:pPr>
        <w:spacing w:after="0" w:line="240" w:lineRule="auto"/>
        <w:jc w:val="center"/>
        <w:rPr>
          <w:rFonts w:ascii="Times New Roman" w:eastAsia="Calibri" w:hAnsi="Times New Roman" w:cs="Times New Roman"/>
          <w:b/>
          <w:sz w:val="28"/>
          <w:szCs w:val="28"/>
        </w:rPr>
      </w:pPr>
      <w:r w:rsidRPr="009B1920">
        <w:rPr>
          <w:rFonts w:ascii="Times New Roman" w:eastAsia="Calibri" w:hAnsi="Times New Roman" w:cs="Times New Roman"/>
          <w:b/>
          <w:sz w:val="28"/>
          <w:szCs w:val="28"/>
        </w:rPr>
        <w:t xml:space="preserve">Информация о выполнении государственной программы </w:t>
      </w:r>
    </w:p>
    <w:p w:rsidR="00A02AE9" w:rsidRPr="009B1920" w:rsidRDefault="00A02AE9" w:rsidP="00A02AE9">
      <w:pPr>
        <w:spacing w:after="0" w:line="240" w:lineRule="auto"/>
        <w:jc w:val="center"/>
        <w:rPr>
          <w:rFonts w:ascii="Times New Roman" w:eastAsia="Calibri" w:hAnsi="Times New Roman" w:cs="Times New Roman"/>
          <w:b/>
          <w:sz w:val="28"/>
          <w:szCs w:val="28"/>
        </w:rPr>
      </w:pPr>
      <w:r w:rsidRPr="009B1920">
        <w:rPr>
          <w:rFonts w:ascii="Times New Roman" w:eastAsia="Calibri" w:hAnsi="Times New Roman" w:cs="Times New Roman"/>
          <w:b/>
          <w:sz w:val="28"/>
          <w:szCs w:val="28"/>
        </w:rPr>
        <w:t xml:space="preserve">Ханты-Мансийского автономного округа – Югры </w:t>
      </w:r>
    </w:p>
    <w:p w:rsidR="00304741" w:rsidRPr="009B1920" w:rsidRDefault="00A02AE9" w:rsidP="00A02AE9">
      <w:pPr>
        <w:spacing w:after="0" w:line="240" w:lineRule="auto"/>
        <w:jc w:val="center"/>
        <w:rPr>
          <w:rFonts w:ascii="Times New Roman" w:eastAsia="Calibri" w:hAnsi="Times New Roman" w:cs="Times New Roman"/>
          <w:b/>
          <w:sz w:val="28"/>
          <w:szCs w:val="28"/>
        </w:rPr>
      </w:pPr>
      <w:r w:rsidRPr="009B1920">
        <w:rPr>
          <w:rFonts w:ascii="Times New Roman" w:eastAsia="Calibri" w:hAnsi="Times New Roman" w:cs="Times New Roman"/>
          <w:b/>
          <w:sz w:val="28"/>
          <w:szCs w:val="28"/>
        </w:rPr>
        <w:t>«Социально-экономическое развитие, инвестиции и инновации Ханты-Мансийского автономного округа – Югры на 2014-2020 годы» за 2015 год</w:t>
      </w:r>
    </w:p>
    <w:p w:rsidR="00CE3AC7" w:rsidRPr="009B1920" w:rsidRDefault="00CE3AC7" w:rsidP="00CE3AC7">
      <w:pPr>
        <w:spacing w:after="0" w:line="240" w:lineRule="auto"/>
        <w:ind w:left="709"/>
        <w:contextualSpacing/>
        <w:jc w:val="both"/>
        <w:rPr>
          <w:rFonts w:ascii="Times New Roman" w:eastAsia="Calibri" w:hAnsi="Times New Roman" w:cs="Times New Roman"/>
          <w:sz w:val="28"/>
          <w:szCs w:val="28"/>
        </w:rPr>
      </w:pPr>
    </w:p>
    <w:p w:rsidR="0068327F" w:rsidRPr="009B1920" w:rsidRDefault="0068327F" w:rsidP="0068327F">
      <w:pPr>
        <w:spacing w:after="0" w:line="360" w:lineRule="auto"/>
        <w:ind w:firstLine="709"/>
        <w:contextualSpacing/>
        <w:jc w:val="both"/>
        <w:rPr>
          <w:rFonts w:ascii="Times New Roman" w:eastAsia="Calibri" w:hAnsi="Times New Roman" w:cs="Times New Roman"/>
          <w:sz w:val="28"/>
          <w:szCs w:val="28"/>
        </w:rPr>
      </w:pPr>
      <w:proofErr w:type="gramStart"/>
      <w:r w:rsidRPr="009B1920">
        <w:rPr>
          <w:rFonts w:ascii="Times New Roman" w:eastAsia="Calibri" w:hAnsi="Times New Roman" w:cs="Times New Roman"/>
          <w:sz w:val="28"/>
          <w:szCs w:val="28"/>
        </w:rPr>
        <w:t>В 2015 году в Ханты-Мансийском автономном округе – Югре (далее – автономный округ) продолжилась реализация государственной программы «Социально-экономическое развитие, инвестиции и инновации Ханты-Мансийского автономного округа – Югры на 2014 - 2020 годы» (далее – Программа), направленной на обеспечение благоприятного инвестиционного климата, содействие инновационному развитию экономики, повышение роли малого и среднего предпринимательства в экономике, развитие конкуренции, повышение качества государственного стратегического планирования и управления, совершенствование государственного и</w:t>
      </w:r>
      <w:proofErr w:type="gramEnd"/>
      <w:r w:rsidRPr="009B1920">
        <w:rPr>
          <w:rFonts w:ascii="Times New Roman" w:eastAsia="Calibri" w:hAnsi="Times New Roman" w:cs="Times New Roman"/>
          <w:sz w:val="28"/>
          <w:szCs w:val="28"/>
        </w:rPr>
        <w:t xml:space="preserve"> муниципального управления, внедрение дополнительных механизмов пенсионного обеспечения для повышения среднего дохода пенсионера.</w:t>
      </w:r>
    </w:p>
    <w:p w:rsidR="00DB1746" w:rsidRPr="009B1920" w:rsidRDefault="00DB1746" w:rsidP="00DB1746">
      <w:pPr>
        <w:spacing w:after="0" w:line="360" w:lineRule="auto"/>
        <w:ind w:firstLine="709"/>
        <w:jc w:val="both"/>
        <w:rPr>
          <w:rFonts w:ascii="Times New Roman" w:eastAsia="Calibri" w:hAnsi="Times New Roman" w:cs="Times New Roman"/>
          <w:sz w:val="28"/>
          <w:szCs w:val="28"/>
        </w:rPr>
      </w:pPr>
      <w:r w:rsidRPr="009B1920">
        <w:rPr>
          <w:rFonts w:ascii="Times New Roman" w:eastAsia="Calibri" w:hAnsi="Times New Roman" w:cs="Times New Roman"/>
          <w:sz w:val="28"/>
          <w:szCs w:val="28"/>
        </w:rPr>
        <w:t>Ключевой задачей экономической политики 2015 года в обстановке неопределенности внешних условий, беспрецедентной волатильности на внутреннем финансовом рынке и уровне стресса в банковской системе было сохранение финансовой и макроэкономической стабильности, смягчение негативных последствий для реального сектора экономики, институциональная поддержка социальной адаптации населения.</w:t>
      </w:r>
    </w:p>
    <w:p w:rsidR="00F17821" w:rsidRPr="001D5548" w:rsidRDefault="00F17821" w:rsidP="0068327F">
      <w:pPr>
        <w:spacing w:after="0" w:line="360" w:lineRule="auto"/>
        <w:ind w:firstLine="709"/>
        <w:contextualSpacing/>
        <w:jc w:val="both"/>
        <w:rPr>
          <w:rFonts w:ascii="Times New Roman" w:eastAsia="Calibri" w:hAnsi="Times New Roman" w:cs="Times New Roman"/>
          <w:sz w:val="24"/>
          <w:szCs w:val="24"/>
        </w:rPr>
      </w:pPr>
    </w:p>
    <w:p w:rsidR="00A02AE9" w:rsidRPr="00304636" w:rsidRDefault="00304636" w:rsidP="00304636">
      <w:pPr>
        <w:spacing w:after="0" w:line="240" w:lineRule="auto"/>
        <w:contextualSpacing/>
        <w:jc w:val="center"/>
        <w:rPr>
          <w:rFonts w:ascii="Times New Roman" w:eastAsia="Calibri" w:hAnsi="Times New Roman" w:cs="Times New Roman"/>
          <w:b/>
          <w:sz w:val="28"/>
          <w:szCs w:val="28"/>
        </w:rPr>
      </w:pPr>
      <w:r w:rsidRPr="00304636">
        <w:rPr>
          <w:rFonts w:ascii="Times New Roman" w:eastAsia="Calibri" w:hAnsi="Times New Roman" w:cs="Times New Roman"/>
          <w:b/>
          <w:sz w:val="28"/>
          <w:szCs w:val="28"/>
        </w:rPr>
        <w:t>Информация о</w:t>
      </w:r>
      <w:r w:rsidR="00A02AE9" w:rsidRPr="00304636">
        <w:rPr>
          <w:rFonts w:ascii="Times New Roman" w:eastAsia="Calibri" w:hAnsi="Times New Roman" w:cs="Times New Roman"/>
          <w:b/>
          <w:sz w:val="28"/>
          <w:szCs w:val="28"/>
        </w:rPr>
        <w:t xml:space="preserve"> финансировании программных мероприятий</w:t>
      </w:r>
    </w:p>
    <w:p w:rsidR="00640FD3" w:rsidRPr="009B1920" w:rsidRDefault="00640FD3" w:rsidP="00640FD3">
      <w:pPr>
        <w:spacing w:after="0" w:line="240" w:lineRule="auto"/>
        <w:ind w:left="709"/>
        <w:contextualSpacing/>
        <w:jc w:val="both"/>
        <w:rPr>
          <w:rFonts w:ascii="Times New Roman" w:eastAsia="Calibri" w:hAnsi="Times New Roman" w:cs="Times New Roman"/>
          <w:sz w:val="28"/>
          <w:szCs w:val="28"/>
        </w:rPr>
      </w:pPr>
    </w:p>
    <w:p w:rsidR="00A02AE9" w:rsidRPr="009B1920" w:rsidRDefault="00A02AE9" w:rsidP="00CE3AC7">
      <w:pPr>
        <w:spacing w:after="0" w:line="360" w:lineRule="auto"/>
        <w:ind w:firstLine="709"/>
        <w:contextualSpacing/>
        <w:jc w:val="both"/>
        <w:rPr>
          <w:rFonts w:ascii="Times New Roman" w:eastAsia="Calibri" w:hAnsi="Times New Roman" w:cs="Times New Roman"/>
          <w:sz w:val="28"/>
          <w:szCs w:val="28"/>
        </w:rPr>
      </w:pPr>
      <w:r w:rsidRPr="009B1920">
        <w:rPr>
          <w:rFonts w:ascii="Times New Roman" w:eastAsia="Calibri" w:hAnsi="Times New Roman" w:cs="Times New Roman"/>
          <w:sz w:val="28"/>
          <w:szCs w:val="28"/>
        </w:rPr>
        <w:t>Объем финансирования Программы на 2015 год за счет бюджетных средств был запланирован в размере 5 562,0 млн. рублей (в том числе за счет средств федеральн</w:t>
      </w:r>
      <w:r w:rsidR="0088569B" w:rsidRPr="009B1920">
        <w:rPr>
          <w:rFonts w:ascii="Times New Roman" w:eastAsia="Calibri" w:hAnsi="Times New Roman" w:cs="Times New Roman"/>
          <w:sz w:val="28"/>
          <w:szCs w:val="28"/>
        </w:rPr>
        <w:t>ого бюджета 237,1 млн. рублей).</w:t>
      </w:r>
    </w:p>
    <w:p w:rsidR="00A02AE9" w:rsidRPr="009B1920" w:rsidRDefault="00A02AE9" w:rsidP="00CE3AC7">
      <w:pPr>
        <w:spacing w:after="0" w:line="360" w:lineRule="auto"/>
        <w:ind w:firstLine="709"/>
        <w:contextualSpacing/>
        <w:jc w:val="both"/>
        <w:rPr>
          <w:rFonts w:ascii="Times New Roman" w:eastAsia="Calibri" w:hAnsi="Times New Roman" w:cs="Times New Roman"/>
          <w:sz w:val="28"/>
          <w:szCs w:val="28"/>
        </w:rPr>
      </w:pPr>
      <w:proofErr w:type="gramStart"/>
      <w:r w:rsidRPr="009B1920">
        <w:rPr>
          <w:rFonts w:ascii="Times New Roman" w:eastAsia="Calibri" w:hAnsi="Times New Roman" w:cs="Times New Roman"/>
          <w:sz w:val="28"/>
          <w:szCs w:val="28"/>
        </w:rPr>
        <w:t xml:space="preserve">По состоянию на 1 января 2016 года исполнение расходных обязательств по Программе за счет бюджетных средств составило 5 548,1 </w:t>
      </w:r>
      <w:r w:rsidRPr="009B1920">
        <w:rPr>
          <w:rFonts w:ascii="Times New Roman" w:eastAsia="Calibri" w:hAnsi="Times New Roman" w:cs="Times New Roman"/>
          <w:sz w:val="28"/>
          <w:szCs w:val="28"/>
        </w:rPr>
        <w:lastRenderedPageBreak/>
        <w:t>млн. рублей (в том числе расходы федерального бюджета – 234,1 млн. рублей) или 99,7 % от годовых плановых назначений на 2015 год 5 562,0 млн. рублей (в том числе федеральный бюджет 237,1 млн. рублей), что на 1,4 процентных пункта выше уровня исполнения Программы</w:t>
      </w:r>
      <w:proofErr w:type="gramEnd"/>
      <w:r w:rsidRPr="009B1920">
        <w:rPr>
          <w:rFonts w:ascii="Times New Roman" w:eastAsia="Calibri" w:hAnsi="Times New Roman" w:cs="Times New Roman"/>
          <w:sz w:val="28"/>
          <w:szCs w:val="28"/>
        </w:rPr>
        <w:t xml:space="preserve"> за аналогичный период 2014 года (98,3 %).</w:t>
      </w:r>
    </w:p>
    <w:p w:rsidR="00DC44E2" w:rsidRPr="001D5548" w:rsidRDefault="00DC44E2" w:rsidP="00CE3AC7">
      <w:pPr>
        <w:spacing w:after="0" w:line="360" w:lineRule="auto"/>
        <w:ind w:firstLine="709"/>
        <w:contextualSpacing/>
        <w:jc w:val="both"/>
        <w:rPr>
          <w:rFonts w:ascii="Times New Roman" w:eastAsia="Calibri" w:hAnsi="Times New Roman" w:cs="Times New Roman"/>
          <w:sz w:val="24"/>
          <w:szCs w:val="24"/>
        </w:rPr>
      </w:pPr>
    </w:p>
    <w:p w:rsidR="00A02AE9" w:rsidRPr="00304636" w:rsidRDefault="00304636" w:rsidP="00304636">
      <w:pPr>
        <w:spacing w:after="0" w:line="240" w:lineRule="auto"/>
        <w:contextualSpacing/>
        <w:jc w:val="center"/>
        <w:rPr>
          <w:rFonts w:ascii="Times New Roman" w:eastAsia="Calibri" w:hAnsi="Times New Roman" w:cs="Times New Roman"/>
          <w:b/>
          <w:sz w:val="28"/>
          <w:szCs w:val="28"/>
        </w:rPr>
      </w:pPr>
      <w:r>
        <w:rPr>
          <w:rFonts w:ascii="Times New Roman" w:eastAsia="Calibri" w:hAnsi="Times New Roman" w:cs="Times New Roman"/>
          <w:b/>
          <w:sz w:val="28"/>
          <w:szCs w:val="28"/>
        </w:rPr>
        <w:t>Информация о</w:t>
      </w:r>
      <w:r w:rsidR="00801570" w:rsidRPr="00304636">
        <w:rPr>
          <w:rFonts w:ascii="Times New Roman" w:eastAsia="Calibri" w:hAnsi="Times New Roman" w:cs="Times New Roman"/>
          <w:b/>
          <w:sz w:val="28"/>
          <w:szCs w:val="28"/>
        </w:rPr>
        <w:t xml:space="preserve"> результатах реализации государственной программы </w:t>
      </w:r>
    </w:p>
    <w:p w:rsidR="00801570" w:rsidRPr="009B1920" w:rsidRDefault="00801570" w:rsidP="00801570">
      <w:pPr>
        <w:spacing w:after="0" w:line="360" w:lineRule="auto"/>
        <w:jc w:val="both"/>
        <w:rPr>
          <w:rFonts w:ascii="Times New Roman" w:hAnsi="Times New Roman" w:cs="Times New Roman"/>
          <w:sz w:val="28"/>
          <w:szCs w:val="28"/>
        </w:rPr>
      </w:pPr>
    </w:p>
    <w:p w:rsidR="00DB1746" w:rsidRDefault="00DB1746" w:rsidP="00DB1746">
      <w:pPr>
        <w:spacing w:after="0" w:line="360" w:lineRule="auto"/>
        <w:ind w:firstLine="709"/>
        <w:jc w:val="both"/>
        <w:rPr>
          <w:rFonts w:ascii="Times New Roman" w:eastAsia="Calibri" w:hAnsi="Times New Roman" w:cs="Times New Roman"/>
          <w:sz w:val="28"/>
          <w:szCs w:val="28"/>
        </w:rPr>
      </w:pPr>
      <w:r w:rsidRPr="009B1920">
        <w:rPr>
          <w:rFonts w:ascii="Times New Roman" w:eastAsia="Calibri" w:hAnsi="Times New Roman" w:cs="Times New Roman"/>
          <w:sz w:val="28"/>
          <w:szCs w:val="28"/>
        </w:rPr>
        <w:t xml:space="preserve">В </w:t>
      </w:r>
      <w:r w:rsidR="00DB1285">
        <w:rPr>
          <w:rFonts w:ascii="Times New Roman" w:eastAsia="Calibri" w:hAnsi="Times New Roman" w:cs="Times New Roman"/>
          <w:sz w:val="28"/>
          <w:szCs w:val="28"/>
        </w:rPr>
        <w:t>П</w:t>
      </w:r>
      <w:r w:rsidRPr="009B1920">
        <w:rPr>
          <w:rFonts w:ascii="Times New Roman" w:eastAsia="Calibri" w:hAnsi="Times New Roman" w:cs="Times New Roman"/>
          <w:sz w:val="28"/>
          <w:szCs w:val="28"/>
        </w:rPr>
        <w:t>рограмме предусмотрено 42 показателя,</w:t>
      </w:r>
      <w:r w:rsidR="009D2DB1">
        <w:rPr>
          <w:rFonts w:ascii="Times New Roman" w:eastAsia="Calibri" w:hAnsi="Times New Roman" w:cs="Times New Roman"/>
          <w:sz w:val="28"/>
          <w:szCs w:val="28"/>
        </w:rPr>
        <w:t xml:space="preserve"> отражающих как</w:t>
      </w:r>
      <w:r w:rsidRPr="009B1920">
        <w:rPr>
          <w:rFonts w:ascii="Times New Roman" w:eastAsia="Calibri" w:hAnsi="Times New Roman" w:cs="Times New Roman"/>
          <w:sz w:val="28"/>
          <w:szCs w:val="28"/>
        </w:rPr>
        <w:t xml:space="preserve"> </w:t>
      </w:r>
      <w:r w:rsidR="009D2DB1" w:rsidRPr="009B1920">
        <w:rPr>
          <w:rFonts w:ascii="Times New Roman" w:eastAsia="Calibri" w:hAnsi="Times New Roman" w:cs="Times New Roman"/>
          <w:sz w:val="28"/>
          <w:szCs w:val="28"/>
        </w:rPr>
        <w:t>эффективност</w:t>
      </w:r>
      <w:r w:rsidR="009D2DB1">
        <w:rPr>
          <w:rFonts w:ascii="Times New Roman" w:eastAsia="Calibri" w:hAnsi="Times New Roman" w:cs="Times New Roman"/>
          <w:sz w:val="28"/>
          <w:szCs w:val="28"/>
        </w:rPr>
        <w:t>ь реализации мероприятий государственной программы, так и макроэкономических</w:t>
      </w:r>
      <w:r w:rsidR="00DB1285">
        <w:rPr>
          <w:rFonts w:ascii="Times New Roman" w:eastAsia="Calibri" w:hAnsi="Times New Roman" w:cs="Times New Roman"/>
          <w:sz w:val="28"/>
          <w:szCs w:val="28"/>
        </w:rPr>
        <w:t>,</w:t>
      </w:r>
      <w:r w:rsidR="009D2DB1">
        <w:rPr>
          <w:rFonts w:ascii="Times New Roman" w:eastAsia="Calibri" w:hAnsi="Times New Roman" w:cs="Times New Roman"/>
          <w:sz w:val="28"/>
          <w:szCs w:val="28"/>
        </w:rPr>
        <w:t xml:space="preserve"> демонстрирующих социально-экономическое развитие </w:t>
      </w:r>
      <w:r w:rsidR="004E5ED1">
        <w:rPr>
          <w:rFonts w:ascii="Times New Roman" w:eastAsia="Calibri" w:hAnsi="Times New Roman" w:cs="Times New Roman"/>
          <w:sz w:val="28"/>
          <w:szCs w:val="28"/>
        </w:rPr>
        <w:t xml:space="preserve">автономного округа, </w:t>
      </w:r>
      <w:r w:rsidR="004E5ED1" w:rsidRPr="004E5ED1">
        <w:rPr>
          <w:rFonts w:ascii="Times New Roman" w:eastAsia="Calibri" w:hAnsi="Times New Roman" w:cs="Times New Roman"/>
          <w:sz w:val="28"/>
          <w:szCs w:val="28"/>
        </w:rPr>
        <w:t xml:space="preserve">на степень достижения </w:t>
      </w:r>
      <w:r w:rsidR="004E5ED1">
        <w:rPr>
          <w:rFonts w:ascii="Times New Roman" w:eastAsia="Calibri" w:hAnsi="Times New Roman" w:cs="Times New Roman"/>
          <w:sz w:val="28"/>
          <w:szCs w:val="28"/>
        </w:rPr>
        <w:t xml:space="preserve">которых оказывают </w:t>
      </w:r>
      <w:r w:rsidR="004E5ED1" w:rsidRPr="004E5ED1">
        <w:rPr>
          <w:rFonts w:ascii="Times New Roman" w:eastAsia="Calibri" w:hAnsi="Times New Roman" w:cs="Times New Roman"/>
          <w:sz w:val="28"/>
          <w:szCs w:val="28"/>
        </w:rPr>
        <w:t>влия</w:t>
      </w:r>
      <w:r w:rsidR="004E5ED1">
        <w:rPr>
          <w:rFonts w:ascii="Times New Roman" w:eastAsia="Calibri" w:hAnsi="Times New Roman" w:cs="Times New Roman"/>
          <w:sz w:val="28"/>
          <w:szCs w:val="28"/>
        </w:rPr>
        <w:t>ние</w:t>
      </w:r>
      <w:r w:rsidR="004E5ED1" w:rsidRPr="004E5ED1">
        <w:rPr>
          <w:rFonts w:ascii="Times New Roman" w:eastAsia="Calibri" w:hAnsi="Times New Roman" w:cs="Times New Roman"/>
          <w:sz w:val="28"/>
          <w:szCs w:val="28"/>
        </w:rPr>
        <w:t xml:space="preserve"> результаты реализации всех государственных программ автономного округа</w:t>
      </w:r>
      <w:r w:rsidR="004E5ED1">
        <w:rPr>
          <w:rFonts w:ascii="Times New Roman" w:eastAsia="Calibri" w:hAnsi="Times New Roman" w:cs="Times New Roman"/>
          <w:sz w:val="28"/>
          <w:szCs w:val="28"/>
        </w:rPr>
        <w:t>.</w:t>
      </w:r>
      <w:r w:rsidR="004E5ED1" w:rsidRPr="004E5ED1">
        <w:rPr>
          <w:rFonts w:ascii="Times New Roman" w:eastAsia="Calibri" w:hAnsi="Times New Roman" w:cs="Times New Roman"/>
          <w:sz w:val="28"/>
          <w:szCs w:val="28"/>
        </w:rPr>
        <w:t xml:space="preserve"> </w:t>
      </w:r>
      <w:r w:rsidR="004E5ED1" w:rsidRPr="009B1920">
        <w:rPr>
          <w:rFonts w:ascii="Times New Roman" w:eastAsia="Calibri" w:hAnsi="Times New Roman" w:cs="Times New Roman"/>
          <w:sz w:val="28"/>
          <w:szCs w:val="28"/>
        </w:rPr>
        <w:t>П</w:t>
      </w:r>
      <w:r w:rsidRPr="009B1920">
        <w:rPr>
          <w:rFonts w:ascii="Times New Roman" w:eastAsia="Calibri" w:hAnsi="Times New Roman" w:cs="Times New Roman"/>
          <w:sz w:val="28"/>
          <w:szCs w:val="28"/>
        </w:rPr>
        <w:t>о</w:t>
      </w:r>
      <w:r w:rsidR="004E5ED1">
        <w:rPr>
          <w:rFonts w:ascii="Times New Roman" w:eastAsia="Calibri" w:hAnsi="Times New Roman" w:cs="Times New Roman"/>
          <w:sz w:val="28"/>
          <w:szCs w:val="28"/>
        </w:rPr>
        <w:t xml:space="preserve"> </w:t>
      </w:r>
      <w:r w:rsidRPr="009B1920">
        <w:rPr>
          <w:rFonts w:ascii="Times New Roman" w:eastAsia="Calibri" w:hAnsi="Times New Roman" w:cs="Times New Roman"/>
          <w:sz w:val="28"/>
          <w:szCs w:val="28"/>
        </w:rPr>
        <w:t xml:space="preserve">итогам 2015 года средний уровень достижения </w:t>
      </w:r>
      <w:r w:rsidR="00DB1285">
        <w:rPr>
          <w:rFonts w:ascii="Times New Roman" w:eastAsia="Calibri" w:hAnsi="Times New Roman" w:cs="Times New Roman"/>
          <w:sz w:val="28"/>
          <w:szCs w:val="28"/>
        </w:rPr>
        <w:t>установленных Программой показателей,</w:t>
      </w:r>
      <w:r w:rsidR="004E5ED1">
        <w:rPr>
          <w:rFonts w:ascii="Times New Roman" w:eastAsia="Calibri" w:hAnsi="Times New Roman" w:cs="Times New Roman"/>
          <w:sz w:val="28"/>
          <w:szCs w:val="28"/>
        </w:rPr>
        <w:t xml:space="preserve"> </w:t>
      </w:r>
      <w:r w:rsidRPr="009B1920">
        <w:rPr>
          <w:rFonts w:ascii="Times New Roman" w:eastAsia="Calibri" w:hAnsi="Times New Roman" w:cs="Times New Roman"/>
          <w:sz w:val="28"/>
          <w:szCs w:val="28"/>
        </w:rPr>
        <w:t>составляет 97,2 %.</w:t>
      </w:r>
    </w:p>
    <w:p w:rsidR="004E5ED1" w:rsidRDefault="004E5ED1" w:rsidP="004E5ED1">
      <w:pPr>
        <w:spacing w:after="0" w:line="360" w:lineRule="auto"/>
        <w:ind w:firstLine="709"/>
        <w:jc w:val="right"/>
        <w:rPr>
          <w:rFonts w:ascii="Times New Roman" w:eastAsia="Calibri" w:hAnsi="Times New Roman" w:cs="Times New Roman"/>
          <w:sz w:val="28"/>
          <w:szCs w:val="28"/>
        </w:rPr>
      </w:pPr>
      <w:r>
        <w:rPr>
          <w:rFonts w:ascii="Times New Roman" w:eastAsia="Calibri" w:hAnsi="Times New Roman" w:cs="Times New Roman"/>
          <w:sz w:val="28"/>
          <w:szCs w:val="28"/>
        </w:rPr>
        <w:t>Таблица 1</w:t>
      </w:r>
    </w:p>
    <w:p w:rsidR="002C50AB" w:rsidRDefault="002C50AB" w:rsidP="002C50AB">
      <w:pPr>
        <w:spacing w:after="0" w:line="240" w:lineRule="auto"/>
        <w:jc w:val="center"/>
        <w:rPr>
          <w:rFonts w:ascii="Times New Roman" w:eastAsia="Times New Roman" w:hAnsi="Times New Roman" w:cs="Times New Roman"/>
          <w:b/>
          <w:bCs/>
          <w:sz w:val="24"/>
          <w:szCs w:val="24"/>
          <w:lang w:eastAsia="ru-RU"/>
        </w:rPr>
      </w:pPr>
      <w:r w:rsidRPr="00C8391B">
        <w:rPr>
          <w:rFonts w:ascii="Times New Roman" w:eastAsia="Times New Roman" w:hAnsi="Times New Roman" w:cs="Times New Roman"/>
          <w:b/>
          <w:bCs/>
          <w:sz w:val="24"/>
          <w:szCs w:val="24"/>
          <w:lang w:eastAsia="ru-RU"/>
        </w:rPr>
        <w:t>Целевые показатели государственной программы Ханты-Ма</w:t>
      </w:r>
      <w:r w:rsidR="005B4D70">
        <w:rPr>
          <w:rFonts w:ascii="Times New Roman" w:eastAsia="Times New Roman" w:hAnsi="Times New Roman" w:cs="Times New Roman"/>
          <w:b/>
          <w:bCs/>
          <w:sz w:val="24"/>
          <w:szCs w:val="24"/>
          <w:lang w:eastAsia="ru-RU"/>
        </w:rPr>
        <w:t xml:space="preserve">нсийского автономного округа – </w:t>
      </w:r>
      <w:r w:rsidRPr="00C8391B">
        <w:rPr>
          <w:rFonts w:ascii="Times New Roman" w:eastAsia="Times New Roman" w:hAnsi="Times New Roman" w:cs="Times New Roman"/>
          <w:b/>
          <w:bCs/>
          <w:sz w:val="24"/>
          <w:szCs w:val="24"/>
          <w:lang w:eastAsia="ru-RU"/>
        </w:rPr>
        <w:t>Югры «Социально-экономическое развитие, инвестиции и инновации Ханты-Мансийского автономного округа – Югры на 2014 - 2020 годы»</w:t>
      </w:r>
    </w:p>
    <w:p w:rsidR="002C50AB" w:rsidRPr="002C50AB" w:rsidRDefault="002C50AB" w:rsidP="002C50AB">
      <w:pPr>
        <w:spacing w:after="0" w:line="240" w:lineRule="auto"/>
        <w:jc w:val="center"/>
        <w:rPr>
          <w:rFonts w:ascii="Times New Roman" w:eastAsia="Times New Roman" w:hAnsi="Times New Roman" w:cs="Times New Roman"/>
          <w:sz w:val="20"/>
          <w:szCs w:val="20"/>
          <w:lang w:eastAsia="ru-RU"/>
        </w:rPr>
      </w:pPr>
    </w:p>
    <w:tbl>
      <w:tblPr>
        <w:tblStyle w:val="ae"/>
        <w:tblW w:w="0" w:type="auto"/>
        <w:tblInd w:w="-459" w:type="dxa"/>
        <w:tblLook w:val="04A0" w:firstRow="1" w:lastRow="0" w:firstColumn="1" w:lastColumn="0" w:noHBand="0" w:noVBand="1"/>
      </w:tblPr>
      <w:tblGrid>
        <w:gridCol w:w="709"/>
        <w:gridCol w:w="4678"/>
        <w:gridCol w:w="1843"/>
        <w:gridCol w:w="1701"/>
        <w:gridCol w:w="815"/>
      </w:tblGrid>
      <w:tr w:rsidR="002C50AB" w:rsidRPr="00F83FBF" w:rsidTr="00F83FBF">
        <w:trPr>
          <w:tblHeader/>
        </w:trPr>
        <w:tc>
          <w:tcPr>
            <w:tcW w:w="709" w:type="dxa"/>
            <w:vMerge w:val="restart"/>
          </w:tcPr>
          <w:p w:rsidR="002C50AB" w:rsidRPr="00F83FBF" w:rsidRDefault="002C50AB" w:rsidP="002C50AB">
            <w:pPr>
              <w:jc w:val="center"/>
              <w:rPr>
                <w:rFonts w:ascii="Times New Roman" w:eastAsia="Times New Roman" w:hAnsi="Times New Roman" w:cs="Times New Roman"/>
                <w:b/>
                <w:sz w:val="20"/>
                <w:szCs w:val="20"/>
                <w:lang w:eastAsia="ru-RU"/>
              </w:rPr>
            </w:pPr>
            <w:r w:rsidRPr="00F83FBF">
              <w:rPr>
                <w:rFonts w:ascii="Times New Roman" w:eastAsia="Times New Roman" w:hAnsi="Times New Roman" w:cs="Times New Roman"/>
                <w:b/>
                <w:sz w:val="20"/>
                <w:szCs w:val="20"/>
                <w:lang w:eastAsia="ru-RU"/>
              </w:rPr>
              <w:t xml:space="preserve">№ </w:t>
            </w:r>
            <w:proofErr w:type="gramStart"/>
            <w:r w:rsidRPr="00F83FBF">
              <w:rPr>
                <w:rFonts w:ascii="Times New Roman" w:eastAsia="Times New Roman" w:hAnsi="Times New Roman" w:cs="Times New Roman"/>
                <w:b/>
                <w:sz w:val="20"/>
                <w:szCs w:val="20"/>
                <w:lang w:eastAsia="ru-RU"/>
              </w:rPr>
              <w:t>п</w:t>
            </w:r>
            <w:proofErr w:type="gramEnd"/>
            <w:r w:rsidRPr="00F83FBF">
              <w:rPr>
                <w:rFonts w:ascii="Times New Roman" w:eastAsia="Times New Roman" w:hAnsi="Times New Roman" w:cs="Times New Roman"/>
                <w:b/>
                <w:sz w:val="20"/>
                <w:szCs w:val="20"/>
                <w:lang w:eastAsia="ru-RU"/>
              </w:rPr>
              <w:t>/п</w:t>
            </w:r>
          </w:p>
        </w:tc>
        <w:tc>
          <w:tcPr>
            <w:tcW w:w="4678" w:type="dxa"/>
            <w:vMerge w:val="restart"/>
          </w:tcPr>
          <w:p w:rsidR="002C50AB" w:rsidRPr="00F83FBF" w:rsidRDefault="002C50AB" w:rsidP="002C50AB">
            <w:pPr>
              <w:jc w:val="center"/>
              <w:rPr>
                <w:rFonts w:ascii="Times New Roman" w:eastAsia="Times New Roman" w:hAnsi="Times New Roman" w:cs="Times New Roman"/>
                <w:b/>
                <w:sz w:val="20"/>
                <w:szCs w:val="20"/>
                <w:lang w:eastAsia="ru-RU"/>
              </w:rPr>
            </w:pPr>
            <w:r w:rsidRPr="00F83FBF">
              <w:rPr>
                <w:rFonts w:ascii="Times New Roman" w:eastAsia="Times New Roman" w:hAnsi="Times New Roman" w:cs="Times New Roman"/>
                <w:b/>
                <w:sz w:val="20"/>
                <w:szCs w:val="20"/>
                <w:lang w:eastAsia="ru-RU"/>
              </w:rPr>
              <w:t>Наименование показателей результатов</w:t>
            </w:r>
          </w:p>
        </w:tc>
        <w:tc>
          <w:tcPr>
            <w:tcW w:w="4359" w:type="dxa"/>
            <w:gridSpan w:val="3"/>
          </w:tcPr>
          <w:p w:rsidR="002C50AB" w:rsidRPr="00F83FBF" w:rsidRDefault="002C50AB" w:rsidP="002C50AB">
            <w:pPr>
              <w:jc w:val="center"/>
              <w:rPr>
                <w:rFonts w:ascii="Times New Roman" w:eastAsia="Times New Roman" w:hAnsi="Times New Roman" w:cs="Times New Roman"/>
                <w:b/>
                <w:sz w:val="20"/>
                <w:szCs w:val="20"/>
                <w:lang w:eastAsia="ru-RU"/>
              </w:rPr>
            </w:pPr>
            <w:r w:rsidRPr="00F83FBF">
              <w:rPr>
                <w:rFonts w:ascii="Times New Roman" w:eastAsia="Times New Roman" w:hAnsi="Times New Roman" w:cs="Times New Roman"/>
                <w:b/>
                <w:sz w:val="20"/>
                <w:szCs w:val="20"/>
                <w:lang w:eastAsia="ru-RU"/>
              </w:rPr>
              <w:t>Значение показателя на 2015 год</w:t>
            </w:r>
          </w:p>
        </w:tc>
      </w:tr>
      <w:tr w:rsidR="002C50AB" w:rsidRPr="00F83FBF" w:rsidTr="00F83FBF">
        <w:trPr>
          <w:tblHeader/>
        </w:trPr>
        <w:tc>
          <w:tcPr>
            <w:tcW w:w="709" w:type="dxa"/>
            <w:vMerge/>
            <w:vAlign w:val="center"/>
          </w:tcPr>
          <w:p w:rsidR="002C50AB" w:rsidRPr="00F83FBF" w:rsidRDefault="002C50AB" w:rsidP="002C50AB">
            <w:pPr>
              <w:rPr>
                <w:rFonts w:ascii="Times New Roman" w:eastAsia="Times New Roman" w:hAnsi="Times New Roman" w:cs="Times New Roman"/>
                <w:b/>
                <w:sz w:val="20"/>
                <w:szCs w:val="20"/>
                <w:lang w:eastAsia="ru-RU"/>
              </w:rPr>
            </w:pPr>
          </w:p>
        </w:tc>
        <w:tc>
          <w:tcPr>
            <w:tcW w:w="4678" w:type="dxa"/>
            <w:vMerge/>
            <w:vAlign w:val="center"/>
          </w:tcPr>
          <w:p w:rsidR="002C50AB" w:rsidRPr="00F83FBF" w:rsidRDefault="002C50AB" w:rsidP="002C50AB">
            <w:pPr>
              <w:rPr>
                <w:rFonts w:ascii="Times New Roman" w:eastAsia="Times New Roman" w:hAnsi="Times New Roman" w:cs="Times New Roman"/>
                <w:b/>
                <w:sz w:val="20"/>
                <w:szCs w:val="20"/>
                <w:lang w:eastAsia="ru-RU"/>
              </w:rPr>
            </w:pPr>
          </w:p>
        </w:tc>
        <w:tc>
          <w:tcPr>
            <w:tcW w:w="1843" w:type="dxa"/>
          </w:tcPr>
          <w:p w:rsidR="002C50AB" w:rsidRPr="00F83FBF" w:rsidRDefault="002C50AB" w:rsidP="002C50AB">
            <w:pPr>
              <w:jc w:val="center"/>
              <w:rPr>
                <w:rFonts w:ascii="Times New Roman" w:eastAsia="Times New Roman" w:hAnsi="Times New Roman" w:cs="Times New Roman"/>
                <w:b/>
                <w:sz w:val="20"/>
                <w:szCs w:val="20"/>
                <w:lang w:eastAsia="ru-RU"/>
              </w:rPr>
            </w:pPr>
            <w:r w:rsidRPr="00F83FBF">
              <w:rPr>
                <w:rFonts w:ascii="Times New Roman" w:eastAsia="Times New Roman" w:hAnsi="Times New Roman" w:cs="Times New Roman"/>
                <w:b/>
                <w:sz w:val="20"/>
                <w:szCs w:val="20"/>
                <w:lang w:eastAsia="ru-RU"/>
              </w:rPr>
              <w:t>план</w:t>
            </w:r>
          </w:p>
        </w:tc>
        <w:tc>
          <w:tcPr>
            <w:tcW w:w="1701" w:type="dxa"/>
          </w:tcPr>
          <w:p w:rsidR="002C50AB" w:rsidRPr="00F83FBF" w:rsidRDefault="002C50AB" w:rsidP="002C50AB">
            <w:pPr>
              <w:jc w:val="center"/>
              <w:rPr>
                <w:rFonts w:ascii="Times New Roman" w:eastAsia="Times New Roman" w:hAnsi="Times New Roman" w:cs="Times New Roman"/>
                <w:b/>
                <w:sz w:val="20"/>
                <w:szCs w:val="20"/>
                <w:lang w:eastAsia="ru-RU"/>
              </w:rPr>
            </w:pPr>
            <w:r w:rsidRPr="00F83FBF">
              <w:rPr>
                <w:rFonts w:ascii="Times New Roman" w:eastAsia="Times New Roman" w:hAnsi="Times New Roman" w:cs="Times New Roman"/>
                <w:b/>
                <w:sz w:val="20"/>
                <w:szCs w:val="20"/>
                <w:lang w:eastAsia="ru-RU"/>
              </w:rPr>
              <w:t>факт</w:t>
            </w:r>
          </w:p>
        </w:tc>
        <w:tc>
          <w:tcPr>
            <w:tcW w:w="815" w:type="dxa"/>
          </w:tcPr>
          <w:p w:rsidR="002C50AB" w:rsidRPr="00F83FBF" w:rsidRDefault="002C50AB" w:rsidP="002C50AB">
            <w:pPr>
              <w:jc w:val="center"/>
              <w:rPr>
                <w:rFonts w:ascii="Times New Roman" w:eastAsia="Times New Roman" w:hAnsi="Times New Roman" w:cs="Times New Roman"/>
                <w:b/>
                <w:sz w:val="20"/>
                <w:szCs w:val="20"/>
                <w:lang w:eastAsia="ru-RU"/>
              </w:rPr>
            </w:pPr>
            <w:r w:rsidRPr="00F83FBF">
              <w:rPr>
                <w:rFonts w:ascii="Times New Roman" w:eastAsia="Times New Roman" w:hAnsi="Times New Roman" w:cs="Times New Roman"/>
                <w:b/>
                <w:sz w:val="20"/>
                <w:szCs w:val="20"/>
                <w:lang w:eastAsia="ru-RU"/>
              </w:rPr>
              <w:t>%</w:t>
            </w:r>
          </w:p>
        </w:tc>
      </w:tr>
      <w:tr w:rsidR="002C50AB" w:rsidRPr="00F83FBF" w:rsidTr="00F83FBF">
        <w:trPr>
          <w:tblHeader/>
        </w:trPr>
        <w:tc>
          <w:tcPr>
            <w:tcW w:w="709" w:type="dxa"/>
          </w:tcPr>
          <w:p w:rsidR="002C50AB" w:rsidRPr="00F83FBF" w:rsidRDefault="002C50AB" w:rsidP="002C50AB">
            <w:pPr>
              <w:jc w:val="center"/>
              <w:rPr>
                <w:rFonts w:ascii="Times New Roman" w:eastAsia="Times New Roman" w:hAnsi="Times New Roman" w:cs="Times New Roman"/>
                <w:b/>
                <w:sz w:val="20"/>
                <w:szCs w:val="20"/>
                <w:lang w:eastAsia="ru-RU"/>
              </w:rPr>
            </w:pPr>
            <w:r w:rsidRPr="00F83FBF">
              <w:rPr>
                <w:rFonts w:ascii="Times New Roman" w:eastAsia="Times New Roman" w:hAnsi="Times New Roman" w:cs="Times New Roman"/>
                <w:b/>
                <w:sz w:val="20"/>
                <w:szCs w:val="20"/>
                <w:lang w:eastAsia="ru-RU"/>
              </w:rPr>
              <w:t>1</w:t>
            </w:r>
          </w:p>
        </w:tc>
        <w:tc>
          <w:tcPr>
            <w:tcW w:w="4678" w:type="dxa"/>
          </w:tcPr>
          <w:p w:rsidR="002C50AB" w:rsidRPr="00F83FBF" w:rsidRDefault="002C50AB" w:rsidP="002C50AB">
            <w:pPr>
              <w:jc w:val="center"/>
              <w:rPr>
                <w:rFonts w:ascii="Times New Roman" w:eastAsia="Times New Roman" w:hAnsi="Times New Roman" w:cs="Times New Roman"/>
                <w:b/>
                <w:sz w:val="20"/>
                <w:szCs w:val="20"/>
                <w:lang w:eastAsia="ru-RU"/>
              </w:rPr>
            </w:pPr>
            <w:r w:rsidRPr="00F83FBF">
              <w:rPr>
                <w:rFonts w:ascii="Times New Roman" w:eastAsia="Times New Roman" w:hAnsi="Times New Roman" w:cs="Times New Roman"/>
                <w:b/>
                <w:sz w:val="20"/>
                <w:szCs w:val="20"/>
                <w:lang w:eastAsia="ru-RU"/>
              </w:rPr>
              <w:t xml:space="preserve">2 </w:t>
            </w:r>
          </w:p>
        </w:tc>
        <w:tc>
          <w:tcPr>
            <w:tcW w:w="1843" w:type="dxa"/>
          </w:tcPr>
          <w:p w:rsidR="002C50AB" w:rsidRPr="00F83FBF" w:rsidRDefault="002C50AB" w:rsidP="002C50AB">
            <w:pPr>
              <w:jc w:val="center"/>
              <w:rPr>
                <w:rFonts w:ascii="Times New Roman" w:eastAsia="Times New Roman" w:hAnsi="Times New Roman" w:cs="Times New Roman"/>
                <w:b/>
                <w:sz w:val="20"/>
                <w:szCs w:val="20"/>
                <w:lang w:eastAsia="ru-RU"/>
              </w:rPr>
            </w:pPr>
            <w:r w:rsidRPr="00F83FBF">
              <w:rPr>
                <w:rFonts w:ascii="Times New Roman" w:eastAsia="Times New Roman" w:hAnsi="Times New Roman" w:cs="Times New Roman"/>
                <w:b/>
                <w:sz w:val="20"/>
                <w:szCs w:val="20"/>
                <w:lang w:eastAsia="ru-RU"/>
              </w:rPr>
              <w:t>3</w:t>
            </w:r>
          </w:p>
        </w:tc>
        <w:tc>
          <w:tcPr>
            <w:tcW w:w="1701" w:type="dxa"/>
          </w:tcPr>
          <w:p w:rsidR="002C50AB" w:rsidRPr="00F83FBF" w:rsidRDefault="002C50AB" w:rsidP="002C50AB">
            <w:pPr>
              <w:jc w:val="center"/>
              <w:rPr>
                <w:rFonts w:ascii="Times New Roman" w:eastAsia="Times New Roman" w:hAnsi="Times New Roman" w:cs="Times New Roman"/>
                <w:b/>
                <w:sz w:val="20"/>
                <w:szCs w:val="20"/>
                <w:lang w:eastAsia="ru-RU"/>
              </w:rPr>
            </w:pPr>
            <w:r w:rsidRPr="00F83FBF">
              <w:rPr>
                <w:rFonts w:ascii="Times New Roman" w:eastAsia="Times New Roman" w:hAnsi="Times New Roman" w:cs="Times New Roman"/>
                <w:b/>
                <w:sz w:val="20"/>
                <w:szCs w:val="20"/>
                <w:lang w:eastAsia="ru-RU"/>
              </w:rPr>
              <w:t>4</w:t>
            </w:r>
          </w:p>
        </w:tc>
        <w:tc>
          <w:tcPr>
            <w:tcW w:w="815" w:type="dxa"/>
          </w:tcPr>
          <w:p w:rsidR="002C50AB" w:rsidRPr="00F83FBF" w:rsidRDefault="002C50AB" w:rsidP="002C50AB">
            <w:pPr>
              <w:jc w:val="center"/>
              <w:rPr>
                <w:rFonts w:ascii="Times New Roman" w:eastAsia="Times New Roman" w:hAnsi="Times New Roman" w:cs="Times New Roman"/>
                <w:b/>
                <w:sz w:val="20"/>
                <w:szCs w:val="20"/>
                <w:lang w:eastAsia="ru-RU"/>
              </w:rPr>
            </w:pPr>
            <w:r w:rsidRPr="00F83FBF">
              <w:rPr>
                <w:rFonts w:ascii="Times New Roman" w:eastAsia="Times New Roman" w:hAnsi="Times New Roman" w:cs="Times New Roman"/>
                <w:b/>
                <w:sz w:val="20"/>
                <w:szCs w:val="20"/>
                <w:lang w:eastAsia="ru-RU"/>
              </w:rPr>
              <w:t>5</w:t>
            </w:r>
          </w:p>
        </w:tc>
      </w:tr>
      <w:tr w:rsidR="002C50AB" w:rsidTr="00F83FBF">
        <w:tc>
          <w:tcPr>
            <w:tcW w:w="9746" w:type="dxa"/>
            <w:gridSpan w:val="5"/>
          </w:tcPr>
          <w:p w:rsidR="002C50AB" w:rsidRPr="00C8391B" w:rsidRDefault="002C50AB" w:rsidP="002C50AB">
            <w:pPr>
              <w:jc w:val="center"/>
              <w:rPr>
                <w:rFonts w:ascii="Times New Roman" w:eastAsia="Times New Roman" w:hAnsi="Times New Roman" w:cs="Times New Roman"/>
                <w:sz w:val="20"/>
                <w:szCs w:val="20"/>
                <w:lang w:eastAsia="ru-RU"/>
              </w:rPr>
            </w:pPr>
            <w:r w:rsidRPr="004E5ED1">
              <w:rPr>
                <w:rFonts w:ascii="Times New Roman" w:eastAsia="Times New Roman" w:hAnsi="Times New Roman" w:cs="Times New Roman"/>
                <w:b/>
                <w:bCs/>
                <w:sz w:val="24"/>
                <w:szCs w:val="24"/>
                <w:lang w:eastAsia="ru-RU"/>
              </w:rPr>
              <w:t>Показатели, отражающие эффективность реализации госпрограммы</w:t>
            </w:r>
          </w:p>
        </w:tc>
      </w:tr>
      <w:tr w:rsidR="002C50AB" w:rsidTr="00F83FBF">
        <w:tc>
          <w:tcPr>
            <w:tcW w:w="709" w:type="dxa"/>
          </w:tcPr>
          <w:p w:rsidR="002C50AB" w:rsidRPr="00C8391B" w:rsidRDefault="002C50AB" w:rsidP="002C50AB">
            <w:pPr>
              <w:jc w:val="center"/>
              <w:rPr>
                <w:rFonts w:ascii="Times New Roman" w:eastAsia="Times New Roman" w:hAnsi="Times New Roman" w:cs="Times New Roman"/>
                <w:sz w:val="20"/>
                <w:szCs w:val="20"/>
                <w:lang w:eastAsia="ru-RU"/>
              </w:rPr>
            </w:pPr>
            <w:r w:rsidRPr="00C8391B">
              <w:rPr>
                <w:rFonts w:ascii="Times New Roman" w:eastAsia="Times New Roman" w:hAnsi="Times New Roman" w:cs="Times New Roman"/>
                <w:sz w:val="20"/>
                <w:szCs w:val="20"/>
                <w:lang w:eastAsia="ru-RU"/>
              </w:rPr>
              <w:t>1</w:t>
            </w:r>
          </w:p>
        </w:tc>
        <w:tc>
          <w:tcPr>
            <w:tcW w:w="4678" w:type="dxa"/>
          </w:tcPr>
          <w:p w:rsidR="002C50AB" w:rsidRPr="00C8391B" w:rsidRDefault="002C50AB" w:rsidP="002C50AB">
            <w:pPr>
              <w:rPr>
                <w:rFonts w:ascii="Times New Roman" w:eastAsia="Times New Roman" w:hAnsi="Times New Roman" w:cs="Times New Roman"/>
                <w:sz w:val="20"/>
                <w:szCs w:val="20"/>
                <w:lang w:eastAsia="ru-RU"/>
              </w:rPr>
            </w:pPr>
            <w:r w:rsidRPr="00C8391B">
              <w:rPr>
                <w:rFonts w:ascii="Times New Roman" w:eastAsia="Times New Roman" w:hAnsi="Times New Roman" w:cs="Times New Roman"/>
                <w:sz w:val="20"/>
                <w:szCs w:val="20"/>
                <w:lang w:eastAsia="ru-RU"/>
              </w:rPr>
              <w:t>Количество действующих малых и средних инновационных компаний-резидентов автономного учреждения автономного округа  «Технопарк высоких технологий», (единиц)</w:t>
            </w:r>
          </w:p>
        </w:tc>
        <w:tc>
          <w:tcPr>
            <w:tcW w:w="1843" w:type="dxa"/>
          </w:tcPr>
          <w:p w:rsidR="002C50AB" w:rsidRPr="00C8391B" w:rsidRDefault="002C50AB" w:rsidP="002C50AB">
            <w:pPr>
              <w:jc w:val="center"/>
              <w:rPr>
                <w:rFonts w:ascii="Times New Roman" w:eastAsia="Times New Roman" w:hAnsi="Times New Roman" w:cs="Times New Roman"/>
                <w:sz w:val="20"/>
                <w:szCs w:val="20"/>
                <w:lang w:eastAsia="ru-RU"/>
              </w:rPr>
            </w:pPr>
            <w:r w:rsidRPr="00C8391B">
              <w:rPr>
                <w:rFonts w:ascii="Times New Roman" w:eastAsia="Times New Roman" w:hAnsi="Times New Roman" w:cs="Times New Roman"/>
                <w:sz w:val="20"/>
                <w:szCs w:val="20"/>
                <w:lang w:eastAsia="ru-RU"/>
              </w:rPr>
              <w:t>140,0</w:t>
            </w:r>
          </w:p>
        </w:tc>
        <w:tc>
          <w:tcPr>
            <w:tcW w:w="1701" w:type="dxa"/>
          </w:tcPr>
          <w:p w:rsidR="002C50AB" w:rsidRPr="00C8391B" w:rsidRDefault="002C50AB" w:rsidP="002C50AB">
            <w:pPr>
              <w:jc w:val="center"/>
              <w:rPr>
                <w:rFonts w:ascii="Times New Roman" w:eastAsia="Times New Roman" w:hAnsi="Times New Roman" w:cs="Times New Roman"/>
                <w:sz w:val="20"/>
                <w:szCs w:val="20"/>
                <w:lang w:eastAsia="ru-RU"/>
              </w:rPr>
            </w:pPr>
            <w:r w:rsidRPr="00C8391B">
              <w:rPr>
                <w:rFonts w:ascii="Times New Roman" w:eastAsia="Times New Roman" w:hAnsi="Times New Roman" w:cs="Times New Roman"/>
                <w:sz w:val="20"/>
                <w:szCs w:val="20"/>
                <w:lang w:eastAsia="ru-RU"/>
              </w:rPr>
              <w:t>142,0</w:t>
            </w:r>
          </w:p>
        </w:tc>
        <w:tc>
          <w:tcPr>
            <w:tcW w:w="815" w:type="dxa"/>
          </w:tcPr>
          <w:p w:rsidR="002C50AB" w:rsidRPr="00C8391B" w:rsidRDefault="002C50AB" w:rsidP="002C50AB">
            <w:pPr>
              <w:jc w:val="center"/>
              <w:rPr>
                <w:rFonts w:ascii="Times New Roman" w:eastAsia="Times New Roman" w:hAnsi="Times New Roman" w:cs="Times New Roman"/>
                <w:sz w:val="20"/>
                <w:szCs w:val="20"/>
                <w:lang w:eastAsia="ru-RU"/>
              </w:rPr>
            </w:pPr>
            <w:r w:rsidRPr="00C8391B">
              <w:rPr>
                <w:rFonts w:ascii="Times New Roman" w:eastAsia="Times New Roman" w:hAnsi="Times New Roman" w:cs="Times New Roman"/>
                <w:sz w:val="20"/>
                <w:szCs w:val="20"/>
                <w:lang w:eastAsia="ru-RU"/>
              </w:rPr>
              <w:t>101,4</w:t>
            </w:r>
          </w:p>
        </w:tc>
      </w:tr>
      <w:tr w:rsidR="002C50AB" w:rsidTr="00F83FBF">
        <w:tc>
          <w:tcPr>
            <w:tcW w:w="709" w:type="dxa"/>
          </w:tcPr>
          <w:p w:rsidR="002C50AB" w:rsidRPr="00C8391B" w:rsidRDefault="002C50AB" w:rsidP="002C50AB">
            <w:pPr>
              <w:jc w:val="center"/>
              <w:rPr>
                <w:rFonts w:ascii="Times New Roman" w:eastAsia="Times New Roman" w:hAnsi="Times New Roman" w:cs="Times New Roman"/>
                <w:sz w:val="20"/>
                <w:szCs w:val="20"/>
                <w:lang w:eastAsia="ru-RU"/>
              </w:rPr>
            </w:pPr>
            <w:r w:rsidRPr="00C8391B">
              <w:rPr>
                <w:rFonts w:ascii="Times New Roman" w:eastAsia="Times New Roman" w:hAnsi="Times New Roman" w:cs="Times New Roman"/>
                <w:sz w:val="20"/>
                <w:szCs w:val="20"/>
                <w:lang w:eastAsia="ru-RU"/>
              </w:rPr>
              <w:t>2</w:t>
            </w:r>
          </w:p>
        </w:tc>
        <w:tc>
          <w:tcPr>
            <w:tcW w:w="4678" w:type="dxa"/>
          </w:tcPr>
          <w:p w:rsidR="002C50AB" w:rsidRPr="00C8391B" w:rsidRDefault="002C50AB" w:rsidP="002C50AB">
            <w:pPr>
              <w:rPr>
                <w:rFonts w:ascii="Times New Roman" w:eastAsia="Times New Roman" w:hAnsi="Times New Roman" w:cs="Times New Roman"/>
                <w:sz w:val="20"/>
                <w:szCs w:val="20"/>
                <w:lang w:eastAsia="ru-RU"/>
              </w:rPr>
            </w:pPr>
            <w:r w:rsidRPr="00C8391B">
              <w:rPr>
                <w:rFonts w:ascii="Times New Roman" w:eastAsia="Times New Roman" w:hAnsi="Times New Roman" w:cs="Times New Roman"/>
                <w:sz w:val="20"/>
                <w:szCs w:val="20"/>
                <w:lang w:eastAsia="ru-RU"/>
              </w:rPr>
              <w:t>Количество реализованных основных положений Стандарта деятельности исполнительных органов государственной власти Ханты-Мансийского автономного округа – Югры по обеспечению благоприятного инвестиционного климата, (единиц)  &lt;1&gt;</w:t>
            </w:r>
          </w:p>
        </w:tc>
        <w:tc>
          <w:tcPr>
            <w:tcW w:w="1843" w:type="dxa"/>
          </w:tcPr>
          <w:p w:rsidR="002C50AB" w:rsidRPr="00C8391B" w:rsidRDefault="002C50AB" w:rsidP="002C50AB">
            <w:pPr>
              <w:jc w:val="center"/>
              <w:rPr>
                <w:rFonts w:ascii="Times New Roman" w:eastAsia="Times New Roman" w:hAnsi="Times New Roman" w:cs="Times New Roman"/>
                <w:sz w:val="20"/>
                <w:szCs w:val="20"/>
                <w:lang w:eastAsia="ru-RU"/>
              </w:rPr>
            </w:pPr>
            <w:r w:rsidRPr="00C8391B">
              <w:rPr>
                <w:rFonts w:ascii="Times New Roman" w:eastAsia="Times New Roman" w:hAnsi="Times New Roman" w:cs="Times New Roman"/>
                <w:sz w:val="20"/>
                <w:szCs w:val="20"/>
                <w:lang w:eastAsia="ru-RU"/>
              </w:rPr>
              <w:t>15,0</w:t>
            </w:r>
          </w:p>
        </w:tc>
        <w:tc>
          <w:tcPr>
            <w:tcW w:w="1701" w:type="dxa"/>
          </w:tcPr>
          <w:p w:rsidR="002C50AB" w:rsidRPr="00C8391B" w:rsidRDefault="002C50AB" w:rsidP="002C50AB">
            <w:pPr>
              <w:jc w:val="center"/>
              <w:rPr>
                <w:rFonts w:ascii="Times New Roman" w:eastAsia="Times New Roman" w:hAnsi="Times New Roman" w:cs="Times New Roman"/>
                <w:sz w:val="20"/>
                <w:szCs w:val="20"/>
                <w:lang w:eastAsia="ru-RU"/>
              </w:rPr>
            </w:pPr>
            <w:r w:rsidRPr="00C8391B">
              <w:rPr>
                <w:rFonts w:ascii="Times New Roman" w:eastAsia="Times New Roman" w:hAnsi="Times New Roman" w:cs="Times New Roman"/>
                <w:sz w:val="20"/>
                <w:szCs w:val="20"/>
                <w:lang w:eastAsia="ru-RU"/>
              </w:rPr>
              <w:t>15,0</w:t>
            </w:r>
          </w:p>
        </w:tc>
        <w:tc>
          <w:tcPr>
            <w:tcW w:w="815" w:type="dxa"/>
          </w:tcPr>
          <w:p w:rsidR="002C50AB" w:rsidRPr="00C8391B" w:rsidRDefault="002C50AB" w:rsidP="002C50AB">
            <w:pPr>
              <w:jc w:val="center"/>
              <w:rPr>
                <w:rFonts w:ascii="Times New Roman" w:eastAsia="Times New Roman" w:hAnsi="Times New Roman" w:cs="Times New Roman"/>
                <w:sz w:val="20"/>
                <w:szCs w:val="20"/>
                <w:lang w:eastAsia="ru-RU"/>
              </w:rPr>
            </w:pPr>
            <w:r w:rsidRPr="00C8391B">
              <w:rPr>
                <w:rFonts w:ascii="Times New Roman" w:eastAsia="Times New Roman" w:hAnsi="Times New Roman" w:cs="Times New Roman"/>
                <w:sz w:val="20"/>
                <w:szCs w:val="20"/>
                <w:lang w:eastAsia="ru-RU"/>
              </w:rPr>
              <w:t>100,0</w:t>
            </w:r>
          </w:p>
        </w:tc>
      </w:tr>
      <w:tr w:rsidR="002C50AB" w:rsidTr="00F83FBF">
        <w:tc>
          <w:tcPr>
            <w:tcW w:w="709" w:type="dxa"/>
          </w:tcPr>
          <w:p w:rsidR="002C50AB" w:rsidRPr="00C8391B" w:rsidRDefault="002C50AB" w:rsidP="002C50AB">
            <w:pPr>
              <w:jc w:val="center"/>
              <w:rPr>
                <w:rFonts w:ascii="Times New Roman" w:eastAsia="Times New Roman" w:hAnsi="Times New Roman" w:cs="Times New Roman"/>
                <w:sz w:val="20"/>
                <w:szCs w:val="20"/>
                <w:lang w:eastAsia="ru-RU"/>
              </w:rPr>
            </w:pPr>
            <w:r w:rsidRPr="00C8391B">
              <w:rPr>
                <w:rFonts w:ascii="Times New Roman" w:eastAsia="Times New Roman" w:hAnsi="Times New Roman" w:cs="Times New Roman"/>
                <w:sz w:val="20"/>
                <w:szCs w:val="20"/>
                <w:lang w:eastAsia="ru-RU"/>
              </w:rPr>
              <w:t>3</w:t>
            </w:r>
          </w:p>
        </w:tc>
        <w:tc>
          <w:tcPr>
            <w:tcW w:w="4678" w:type="dxa"/>
          </w:tcPr>
          <w:p w:rsidR="00F83FBF" w:rsidRPr="00C8391B" w:rsidRDefault="002C50AB" w:rsidP="00F83FBF">
            <w:pPr>
              <w:rPr>
                <w:rFonts w:ascii="Times New Roman" w:eastAsia="Times New Roman" w:hAnsi="Times New Roman" w:cs="Times New Roman"/>
                <w:sz w:val="20"/>
                <w:szCs w:val="20"/>
                <w:lang w:eastAsia="ru-RU"/>
              </w:rPr>
            </w:pPr>
            <w:r w:rsidRPr="00C8391B">
              <w:rPr>
                <w:rFonts w:ascii="Times New Roman" w:eastAsia="Times New Roman" w:hAnsi="Times New Roman" w:cs="Times New Roman"/>
                <w:sz w:val="20"/>
                <w:szCs w:val="20"/>
                <w:lang w:eastAsia="ru-RU"/>
              </w:rPr>
              <w:t>Количество малых (микро) и средних предприятий, (тыс. единиц)</w:t>
            </w:r>
          </w:p>
        </w:tc>
        <w:tc>
          <w:tcPr>
            <w:tcW w:w="1843" w:type="dxa"/>
          </w:tcPr>
          <w:p w:rsidR="002C50AB" w:rsidRPr="00C8391B" w:rsidRDefault="002C50AB" w:rsidP="002C50AB">
            <w:pPr>
              <w:jc w:val="center"/>
              <w:rPr>
                <w:rFonts w:ascii="Times New Roman" w:eastAsia="Times New Roman" w:hAnsi="Times New Roman" w:cs="Times New Roman"/>
                <w:sz w:val="20"/>
                <w:szCs w:val="20"/>
                <w:lang w:eastAsia="ru-RU"/>
              </w:rPr>
            </w:pPr>
            <w:r w:rsidRPr="00C8391B">
              <w:rPr>
                <w:rFonts w:ascii="Times New Roman" w:eastAsia="Times New Roman" w:hAnsi="Times New Roman" w:cs="Times New Roman"/>
                <w:sz w:val="20"/>
                <w:szCs w:val="20"/>
                <w:lang w:eastAsia="ru-RU"/>
              </w:rPr>
              <w:t>24,6</w:t>
            </w:r>
          </w:p>
        </w:tc>
        <w:tc>
          <w:tcPr>
            <w:tcW w:w="1701" w:type="dxa"/>
          </w:tcPr>
          <w:p w:rsidR="002C50AB" w:rsidRPr="00C8391B" w:rsidRDefault="002C50AB" w:rsidP="002C50AB">
            <w:pPr>
              <w:jc w:val="center"/>
              <w:rPr>
                <w:rFonts w:ascii="Times New Roman" w:eastAsia="Times New Roman" w:hAnsi="Times New Roman" w:cs="Times New Roman"/>
                <w:sz w:val="20"/>
                <w:szCs w:val="20"/>
                <w:lang w:eastAsia="ru-RU"/>
              </w:rPr>
            </w:pPr>
            <w:r w:rsidRPr="00C8391B">
              <w:rPr>
                <w:rFonts w:ascii="Times New Roman" w:eastAsia="Times New Roman" w:hAnsi="Times New Roman" w:cs="Times New Roman"/>
                <w:sz w:val="20"/>
                <w:szCs w:val="20"/>
                <w:lang w:eastAsia="ru-RU"/>
              </w:rPr>
              <w:t>23,5</w:t>
            </w:r>
          </w:p>
        </w:tc>
        <w:tc>
          <w:tcPr>
            <w:tcW w:w="815" w:type="dxa"/>
          </w:tcPr>
          <w:p w:rsidR="002C50AB" w:rsidRPr="00C8391B" w:rsidRDefault="002C50AB" w:rsidP="002C50AB">
            <w:pPr>
              <w:jc w:val="center"/>
              <w:rPr>
                <w:rFonts w:ascii="Times New Roman" w:eastAsia="Times New Roman" w:hAnsi="Times New Roman" w:cs="Times New Roman"/>
                <w:sz w:val="20"/>
                <w:szCs w:val="20"/>
                <w:lang w:eastAsia="ru-RU"/>
              </w:rPr>
            </w:pPr>
            <w:r w:rsidRPr="00C8391B">
              <w:rPr>
                <w:rFonts w:ascii="Times New Roman" w:eastAsia="Times New Roman" w:hAnsi="Times New Roman" w:cs="Times New Roman"/>
                <w:sz w:val="20"/>
                <w:szCs w:val="20"/>
                <w:lang w:eastAsia="ru-RU"/>
              </w:rPr>
              <w:t>95,5</w:t>
            </w:r>
          </w:p>
        </w:tc>
      </w:tr>
      <w:tr w:rsidR="002C50AB" w:rsidTr="00F83FBF">
        <w:tc>
          <w:tcPr>
            <w:tcW w:w="709" w:type="dxa"/>
          </w:tcPr>
          <w:p w:rsidR="002C50AB" w:rsidRPr="00C8391B" w:rsidRDefault="002C50AB" w:rsidP="002C50AB">
            <w:pPr>
              <w:jc w:val="center"/>
              <w:rPr>
                <w:rFonts w:ascii="Times New Roman" w:eastAsia="Times New Roman" w:hAnsi="Times New Roman" w:cs="Times New Roman"/>
                <w:sz w:val="20"/>
                <w:szCs w:val="20"/>
                <w:lang w:eastAsia="ru-RU"/>
              </w:rPr>
            </w:pPr>
            <w:r w:rsidRPr="00C8391B">
              <w:rPr>
                <w:rFonts w:ascii="Times New Roman" w:eastAsia="Times New Roman" w:hAnsi="Times New Roman" w:cs="Times New Roman"/>
                <w:sz w:val="20"/>
                <w:szCs w:val="20"/>
                <w:lang w:eastAsia="ru-RU"/>
              </w:rPr>
              <w:t>4</w:t>
            </w:r>
          </w:p>
        </w:tc>
        <w:tc>
          <w:tcPr>
            <w:tcW w:w="4678" w:type="dxa"/>
          </w:tcPr>
          <w:p w:rsidR="002C50AB" w:rsidRDefault="002C50AB" w:rsidP="002C50AB">
            <w:pPr>
              <w:rPr>
                <w:rFonts w:ascii="Times New Roman" w:eastAsia="Times New Roman" w:hAnsi="Times New Roman" w:cs="Times New Roman"/>
                <w:sz w:val="20"/>
                <w:szCs w:val="20"/>
                <w:lang w:eastAsia="ru-RU"/>
              </w:rPr>
            </w:pPr>
            <w:r w:rsidRPr="00C8391B">
              <w:rPr>
                <w:rFonts w:ascii="Times New Roman" w:eastAsia="Times New Roman" w:hAnsi="Times New Roman" w:cs="Times New Roman"/>
                <w:sz w:val="20"/>
                <w:szCs w:val="20"/>
                <w:lang w:eastAsia="ru-RU"/>
              </w:rPr>
              <w:t xml:space="preserve">Количество индивидуальных предпринимателей, (тыс. единиц) </w:t>
            </w:r>
          </w:p>
          <w:p w:rsidR="00DC286C" w:rsidRPr="00C8391B" w:rsidRDefault="00DC286C" w:rsidP="002C50AB">
            <w:pPr>
              <w:rPr>
                <w:rFonts w:ascii="Times New Roman" w:eastAsia="Times New Roman" w:hAnsi="Times New Roman" w:cs="Times New Roman"/>
                <w:sz w:val="20"/>
                <w:szCs w:val="20"/>
                <w:lang w:eastAsia="ru-RU"/>
              </w:rPr>
            </w:pPr>
          </w:p>
        </w:tc>
        <w:tc>
          <w:tcPr>
            <w:tcW w:w="1843" w:type="dxa"/>
          </w:tcPr>
          <w:p w:rsidR="002C50AB" w:rsidRPr="00C8391B" w:rsidRDefault="002C50AB" w:rsidP="002C50AB">
            <w:pPr>
              <w:jc w:val="center"/>
              <w:rPr>
                <w:rFonts w:ascii="Times New Roman" w:eastAsia="Times New Roman" w:hAnsi="Times New Roman" w:cs="Times New Roman"/>
                <w:sz w:val="20"/>
                <w:szCs w:val="20"/>
                <w:lang w:eastAsia="ru-RU"/>
              </w:rPr>
            </w:pPr>
            <w:r w:rsidRPr="00C8391B">
              <w:rPr>
                <w:rFonts w:ascii="Times New Roman" w:eastAsia="Times New Roman" w:hAnsi="Times New Roman" w:cs="Times New Roman"/>
                <w:sz w:val="20"/>
                <w:szCs w:val="20"/>
                <w:lang w:eastAsia="ru-RU"/>
              </w:rPr>
              <w:t>55,2</w:t>
            </w:r>
          </w:p>
        </w:tc>
        <w:tc>
          <w:tcPr>
            <w:tcW w:w="1701" w:type="dxa"/>
          </w:tcPr>
          <w:p w:rsidR="002C50AB" w:rsidRPr="00C8391B" w:rsidRDefault="002C50AB" w:rsidP="002C50AB">
            <w:pPr>
              <w:jc w:val="center"/>
              <w:rPr>
                <w:rFonts w:ascii="Times New Roman" w:eastAsia="Times New Roman" w:hAnsi="Times New Roman" w:cs="Times New Roman"/>
                <w:sz w:val="20"/>
                <w:szCs w:val="20"/>
                <w:lang w:eastAsia="ru-RU"/>
              </w:rPr>
            </w:pPr>
            <w:r w:rsidRPr="00C8391B">
              <w:rPr>
                <w:rFonts w:ascii="Times New Roman" w:eastAsia="Times New Roman" w:hAnsi="Times New Roman" w:cs="Times New Roman"/>
                <w:sz w:val="20"/>
                <w:szCs w:val="20"/>
                <w:lang w:eastAsia="ru-RU"/>
              </w:rPr>
              <w:t>50,8</w:t>
            </w:r>
          </w:p>
        </w:tc>
        <w:tc>
          <w:tcPr>
            <w:tcW w:w="815" w:type="dxa"/>
          </w:tcPr>
          <w:p w:rsidR="002C50AB" w:rsidRPr="00C8391B" w:rsidRDefault="002C50AB" w:rsidP="002C50AB">
            <w:pPr>
              <w:jc w:val="center"/>
              <w:rPr>
                <w:rFonts w:ascii="Times New Roman" w:eastAsia="Times New Roman" w:hAnsi="Times New Roman" w:cs="Times New Roman"/>
                <w:sz w:val="20"/>
                <w:szCs w:val="20"/>
                <w:lang w:eastAsia="ru-RU"/>
              </w:rPr>
            </w:pPr>
            <w:r w:rsidRPr="00C8391B">
              <w:rPr>
                <w:rFonts w:ascii="Times New Roman" w:eastAsia="Times New Roman" w:hAnsi="Times New Roman" w:cs="Times New Roman"/>
                <w:sz w:val="20"/>
                <w:szCs w:val="20"/>
                <w:lang w:eastAsia="ru-RU"/>
              </w:rPr>
              <w:t>92,0</w:t>
            </w:r>
          </w:p>
        </w:tc>
      </w:tr>
      <w:tr w:rsidR="002C50AB" w:rsidTr="00F83FBF">
        <w:tc>
          <w:tcPr>
            <w:tcW w:w="709" w:type="dxa"/>
          </w:tcPr>
          <w:p w:rsidR="002C50AB" w:rsidRPr="00C8391B" w:rsidRDefault="002C50AB" w:rsidP="002C50AB">
            <w:pPr>
              <w:jc w:val="center"/>
              <w:rPr>
                <w:rFonts w:ascii="Times New Roman" w:eastAsia="Times New Roman" w:hAnsi="Times New Roman" w:cs="Times New Roman"/>
                <w:sz w:val="20"/>
                <w:szCs w:val="20"/>
                <w:lang w:eastAsia="ru-RU"/>
              </w:rPr>
            </w:pPr>
            <w:r w:rsidRPr="00C8391B">
              <w:rPr>
                <w:rFonts w:ascii="Times New Roman" w:eastAsia="Times New Roman" w:hAnsi="Times New Roman" w:cs="Times New Roman"/>
                <w:sz w:val="20"/>
                <w:szCs w:val="20"/>
                <w:lang w:eastAsia="ru-RU"/>
              </w:rPr>
              <w:t>5</w:t>
            </w:r>
          </w:p>
        </w:tc>
        <w:tc>
          <w:tcPr>
            <w:tcW w:w="4678" w:type="dxa"/>
          </w:tcPr>
          <w:p w:rsidR="002C50AB" w:rsidRPr="00C8391B" w:rsidRDefault="002C50AB" w:rsidP="002C50AB">
            <w:pPr>
              <w:rPr>
                <w:rFonts w:ascii="Times New Roman" w:eastAsia="Times New Roman" w:hAnsi="Times New Roman" w:cs="Times New Roman"/>
                <w:sz w:val="20"/>
                <w:szCs w:val="20"/>
                <w:lang w:eastAsia="ru-RU"/>
              </w:rPr>
            </w:pPr>
            <w:r w:rsidRPr="00C8391B">
              <w:rPr>
                <w:rFonts w:ascii="Times New Roman" w:eastAsia="Times New Roman" w:hAnsi="Times New Roman" w:cs="Times New Roman"/>
                <w:sz w:val="20"/>
                <w:szCs w:val="20"/>
                <w:lang w:eastAsia="ru-RU"/>
              </w:rPr>
              <w:t>Среднесписочная численность работников (без внешних совместителей) малых (микро) и средних предприятий, (</w:t>
            </w:r>
            <w:proofErr w:type="spellStart"/>
            <w:r w:rsidRPr="00C8391B">
              <w:rPr>
                <w:rFonts w:ascii="Times New Roman" w:eastAsia="Times New Roman" w:hAnsi="Times New Roman" w:cs="Times New Roman"/>
                <w:sz w:val="20"/>
                <w:szCs w:val="20"/>
                <w:lang w:eastAsia="ru-RU"/>
              </w:rPr>
              <w:t>тыс</w:t>
            </w:r>
            <w:proofErr w:type="gramStart"/>
            <w:r w:rsidRPr="00C8391B">
              <w:rPr>
                <w:rFonts w:ascii="Times New Roman" w:eastAsia="Times New Roman" w:hAnsi="Times New Roman" w:cs="Times New Roman"/>
                <w:sz w:val="20"/>
                <w:szCs w:val="20"/>
                <w:lang w:eastAsia="ru-RU"/>
              </w:rPr>
              <w:t>.ч</w:t>
            </w:r>
            <w:proofErr w:type="gramEnd"/>
            <w:r w:rsidRPr="00C8391B">
              <w:rPr>
                <w:rFonts w:ascii="Times New Roman" w:eastAsia="Times New Roman" w:hAnsi="Times New Roman" w:cs="Times New Roman"/>
                <w:sz w:val="20"/>
                <w:szCs w:val="20"/>
                <w:lang w:eastAsia="ru-RU"/>
              </w:rPr>
              <w:t>еловек</w:t>
            </w:r>
            <w:proofErr w:type="spellEnd"/>
            <w:r w:rsidRPr="00C8391B">
              <w:rPr>
                <w:rFonts w:ascii="Times New Roman" w:eastAsia="Times New Roman" w:hAnsi="Times New Roman" w:cs="Times New Roman"/>
                <w:sz w:val="20"/>
                <w:szCs w:val="20"/>
                <w:lang w:eastAsia="ru-RU"/>
              </w:rPr>
              <w:t>)</w:t>
            </w:r>
          </w:p>
        </w:tc>
        <w:tc>
          <w:tcPr>
            <w:tcW w:w="1843" w:type="dxa"/>
          </w:tcPr>
          <w:p w:rsidR="002C50AB" w:rsidRPr="00C8391B" w:rsidRDefault="002C50AB" w:rsidP="002C50AB">
            <w:pPr>
              <w:jc w:val="center"/>
              <w:rPr>
                <w:rFonts w:ascii="Times New Roman" w:eastAsia="Times New Roman" w:hAnsi="Times New Roman" w:cs="Times New Roman"/>
                <w:sz w:val="20"/>
                <w:szCs w:val="20"/>
                <w:lang w:eastAsia="ru-RU"/>
              </w:rPr>
            </w:pPr>
            <w:r w:rsidRPr="00C8391B">
              <w:rPr>
                <w:rFonts w:ascii="Times New Roman" w:eastAsia="Times New Roman" w:hAnsi="Times New Roman" w:cs="Times New Roman"/>
                <w:sz w:val="20"/>
                <w:szCs w:val="20"/>
                <w:lang w:eastAsia="ru-RU"/>
              </w:rPr>
              <w:t>143,2</w:t>
            </w:r>
          </w:p>
        </w:tc>
        <w:tc>
          <w:tcPr>
            <w:tcW w:w="1701" w:type="dxa"/>
          </w:tcPr>
          <w:p w:rsidR="002C50AB" w:rsidRPr="00C8391B" w:rsidRDefault="002C50AB" w:rsidP="002C50AB">
            <w:pPr>
              <w:jc w:val="center"/>
              <w:rPr>
                <w:rFonts w:ascii="Times New Roman" w:eastAsia="Times New Roman" w:hAnsi="Times New Roman" w:cs="Times New Roman"/>
                <w:sz w:val="20"/>
                <w:szCs w:val="20"/>
                <w:lang w:eastAsia="ru-RU"/>
              </w:rPr>
            </w:pPr>
            <w:r w:rsidRPr="00C8391B">
              <w:rPr>
                <w:rFonts w:ascii="Times New Roman" w:eastAsia="Times New Roman" w:hAnsi="Times New Roman" w:cs="Times New Roman"/>
                <w:sz w:val="20"/>
                <w:szCs w:val="20"/>
                <w:lang w:eastAsia="ru-RU"/>
              </w:rPr>
              <w:t>118,7</w:t>
            </w:r>
          </w:p>
        </w:tc>
        <w:tc>
          <w:tcPr>
            <w:tcW w:w="815" w:type="dxa"/>
          </w:tcPr>
          <w:p w:rsidR="002C50AB" w:rsidRPr="00C8391B" w:rsidRDefault="002C50AB" w:rsidP="002C50AB">
            <w:pPr>
              <w:jc w:val="center"/>
              <w:rPr>
                <w:rFonts w:ascii="Times New Roman" w:eastAsia="Times New Roman" w:hAnsi="Times New Roman" w:cs="Times New Roman"/>
                <w:sz w:val="20"/>
                <w:szCs w:val="20"/>
                <w:lang w:eastAsia="ru-RU"/>
              </w:rPr>
            </w:pPr>
            <w:r w:rsidRPr="00C8391B">
              <w:rPr>
                <w:rFonts w:ascii="Times New Roman" w:eastAsia="Times New Roman" w:hAnsi="Times New Roman" w:cs="Times New Roman"/>
                <w:sz w:val="20"/>
                <w:szCs w:val="20"/>
                <w:lang w:eastAsia="ru-RU"/>
              </w:rPr>
              <w:t>82,9</w:t>
            </w:r>
          </w:p>
        </w:tc>
      </w:tr>
      <w:tr w:rsidR="002C50AB" w:rsidTr="00F83FBF">
        <w:tc>
          <w:tcPr>
            <w:tcW w:w="709" w:type="dxa"/>
          </w:tcPr>
          <w:p w:rsidR="002C50AB" w:rsidRPr="00C8391B" w:rsidRDefault="002C50AB" w:rsidP="002C50AB">
            <w:pPr>
              <w:jc w:val="center"/>
              <w:rPr>
                <w:rFonts w:ascii="Times New Roman" w:eastAsia="Times New Roman" w:hAnsi="Times New Roman" w:cs="Times New Roman"/>
                <w:sz w:val="20"/>
                <w:szCs w:val="20"/>
                <w:lang w:eastAsia="ru-RU"/>
              </w:rPr>
            </w:pPr>
            <w:r w:rsidRPr="00C8391B">
              <w:rPr>
                <w:rFonts w:ascii="Times New Roman" w:eastAsia="Times New Roman" w:hAnsi="Times New Roman" w:cs="Times New Roman"/>
                <w:sz w:val="20"/>
                <w:szCs w:val="20"/>
                <w:lang w:eastAsia="ru-RU"/>
              </w:rPr>
              <w:t>6</w:t>
            </w:r>
          </w:p>
        </w:tc>
        <w:tc>
          <w:tcPr>
            <w:tcW w:w="4678" w:type="dxa"/>
          </w:tcPr>
          <w:p w:rsidR="00DC286C" w:rsidRPr="00C8391B" w:rsidRDefault="002C50AB" w:rsidP="001D5548">
            <w:pPr>
              <w:rPr>
                <w:rFonts w:ascii="Times New Roman" w:eastAsia="Times New Roman" w:hAnsi="Times New Roman" w:cs="Times New Roman"/>
                <w:sz w:val="20"/>
                <w:szCs w:val="20"/>
                <w:lang w:eastAsia="ru-RU"/>
              </w:rPr>
            </w:pPr>
            <w:r w:rsidRPr="00C8391B">
              <w:rPr>
                <w:rFonts w:ascii="Times New Roman" w:eastAsia="Times New Roman" w:hAnsi="Times New Roman" w:cs="Times New Roman"/>
                <w:sz w:val="20"/>
                <w:szCs w:val="20"/>
                <w:lang w:eastAsia="ru-RU"/>
              </w:rPr>
              <w:t>Оборот малых (микро) и средних предприятий, (</w:t>
            </w:r>
            <w:proofErr w:type="spellStart"/>
            <w:r w:rsidRPr="00C8391B">
              <w:rPr>
                <w:rFonts w:ascii="Times New Roman" w:eastAsia="Times New Roman" w:hAnsi="Times New Roman" w:cs="Times New Roman"/>
                <w:sz w:val="20"/>
                <w:szCs w:val="20"/>
                <w:lang w:eastAsia="ru-RU"/>
              </w:rPr>
              <w:t>млрд</w:t>
            </w:r>
            <w:proofErr w:type="gramStart"/>
            <w:r w:rsidRPr="00C8391B">
              <w:rPr>
                <w:rFonts w:ascii="Times New Roman" w:eastAsia="Times New Roman" w:hAnsi="Times New Roman" w:cs="Times New Roman"/>
                <w:sz w:val="20"/>
                <w:szCs w:val="20"/>
                <w:lang w:eastAsia="ru-RU"/>
              </w:rPr>
              <w:t>.р</w:t>
            </w:r>
            <w:proofErr w:type="gramEnd"/>
            <w:r w:rsidRPr="00C8391B">
              <w:rPr>
                <w:rFonts w:ascii="Times New Roman" w:eastAsia="Times New Roman" w:hAnsi="Times New Roman" w:cs="Times New Roman"/>
                <w:sz w:val="20"/>
                <w:szCs w:val="20"/>
                <w:lang w:eastAsia="ru-RU"/>
              </w:rPr>
              <w:t>ублей</w:t>
            </w:r>
            <w:proofErr w:type="spellEnd"/>
            <w:r w:rsidRPr="00C8391B">
              <w:rPr>
                <w:rFonts w:ascii="Times New Roman" w:eastAsia="Times New Roman" w:hAnsi="Times New Roman" w:cs="Times New Roman"/>
                <w:sz w:val="20"/>
                <w:szCs w:val="20"/>
                <w:lang w:eastAsia="ru-RU"/>
              </w:rPr>
              <w:t>)</w:t>
            </w:r>
          </w:p>
        </w:tc>
        <w:tc>
          <w:tcPr>
            <w:tcW w:w="1843" w:type="dxa"/>
          </w:tcPr>
          <w:p w:rsidR="002C50AB" w:rsidRPr="00C8391B" w:rsidRDefault="002C50AB" w:rsidP="002C50AB">
            <w:pPr>
              <w:jc w:val="center"/>
              <w:rPr>
                <w:rFonts w:ascii="Times New Roman" w:eastAsia="Times New Roman" w:hAnsi="Times New Roman" w:cs="Times New Roman"/>
                <w:sz w:val="20"/>
                <w:szCs w:val="20"/>
                <w:lang w:eastAsia="ru-RU"/>
              </w:rPr>
            </w:pPr>
            <w:r w:rsidRPr="00C8391B">
              <w:rPr>
                <w:rFonts w:ascii="Times New Roman" w:eastAsia="Times New Roman" w:hAnsi="Times New Roman" w:cs="Times New Roman"/>
                <w:sz w:val="20"/>
                <w:szCs w:val="20"/>
                <w:lang w:eastAsia="ru-RU"/>
              </w:rPr>
              <w:t>501,7</w:t>
            </w:r>
          </w:p>
        </w:tc>
        <w:tc>
          <w:tcPr>
            <w:tcW w:w="1701" w:type="dxa"/>
          </w:tcPr>
          <w:p w:rsidR="002C50AB" w:rsidRPr="00C8391B" w:rsidRDefault="002C50AB" w:rsidP="002C50AB">
            <w:pPr>
              <w:jc w:val="center"/>
              <w:rPr>
                <w:rFonts w:ascii="Times New Roman" w:eastAsia="Times New Roman" w:hAnsi="Times New Roman" w:cs="Times New Roman"/>
                <w:sz w:val="20"/>
                <w:szCs w:val="20"/>
                <w:lang w:eastAsia="ru-RU"/>
              </w:rPr>
            </w:pPr>
            <w:r w:rsidRPr="00C8391B">
              <w:rPr>
                <w:rFonts w:ascii="Times New Roman" w:eastAsia="Times New Roman" w:hAnsi="Times New Roman" w:cs="Times New Roman"/>
                <w:sz w:val="20"/>
                <w:szCs w:val="20"/>
                <w:lang w:eastAsia="ru-RU"/>
              </w:rPr>
              <w:t>415,0</w:t>
            </w:r>
          </w:p>
        </w:tc>
        <w:tc>
          <w:tcPr>
            <w:tcW w:w="815" w:type="dxa"/>
          </w:tcPr>
          <w:p w:rsidR="002C50AB" w:rsidRPr="00C8391B" w:rsidRDefault="002C50AB" w:rsidP="002C50AB">
            <w:pPr>
              <w:jc w:val="center"/>
              <w:rPr>
                <w:rFonts w:ascii="Times New Roman" w:eastAsia="Times New Roman" w:hAnsi="Times New Roman" w:cs="Times New Roman"/>
                <w:sz w:val="20"/>
                <w:szCs w:val="20"/>
                <w:lang w:eastAsia="ru-RU"/>
              </w:rPr>
            </w:pPr>
            <w:r w:rsidRPr="00C8391B">
              <w:rPr>
                <w:rFonts w:ascii="Times New Roman" w:eastAsia="Times New Roman" w:hAnsi="Times New Roman" w:cs="Times New Roman"/>
                <w:sz w:val="20"/>
                <w:szCs w:val="20"/>
                <w:lang w:eastAsia="ru-RU"/>
              </w:rPr>
              <w:t>82,7</w:t>
            </w:r>
          </w:p>
        </w:tc>
      </w:tr>
      <w:tr w:rsidR="002C50AB" w:rsidTr="00F83FBF">
        <w:tc>
          <w:tcPr>
            <w:tcW w:w="709" w:type="dxa"/>
          </w:tcPr>
          <w:p w:rsidR="002C50AB" w:rsidRPr="00C8391B" w:rsidRDefault="002C50AB" w:rsidP="002C50AB">
            <w:pPr>
              <w:jc w:val="center"/>
              <w:rPr>
                <w:rFonts w:ascii="Times New Roman" w:eastAsia="Times New Roman" w:hAnsi="Times New Roman" w:cs="Times New Roman"/>
                <w:sz w:val="20"/>
                <w:szCs w:val="20"/>
                <w:lang w:eastAsia="ru-RU"/>
              </w:rPr>
            </w:pPr>
            <w:r w:rsidRPr="00C8391B">
              <w:rPr>
                <w:rFonts w:ascii="Times New Roman" w:eastAsia="Times New Roman" w:hAnsi="Times New Roman" w:cs="Times New Roman"/>
                <w:sz w:val="20"/>
                <w:szCs w:val="20"/>
                <w:lang w:eastAsia="ru-RU"/>
              </w:rPr>
              <w:lastRenderedPageBreak/>
              <w:t>7</w:t>
            </w:r>
          </w:p>
        </w:tc>
        <w:tc>
          <w:tcPr>
            <w:tcW w:w="4678" w:type="dxa"/>
          </w:tcPr>
          <w:p w:rsidR="00DC286C" w:rsidRPr="00C8391B" w:rsidRDefault="002C50AB" w:rsidP="002C50AB">
            <w:pPr>
              <w:rPr>
                <w:rFonts w:ascii="Times New Roman" w:eastAsia="Times New Roman" w:hAnsi="Times New Roman" w:cs="Times New Roman"/>
                <w:sz w:val="20"/>
                <w:szCs w:val="20"/>
                <w:lang w:eastAsia="ru-RU"/>
              </w:rPr>
            </w:pPr>
            <w:r w:rsidRPr="00C8391B">
              <w:rPr>
                <w:rFonts w:ascii="Times New Roman" w:eastAsia="Times New Roman" w:hAnsi="Times New Roman" w:cs="Times New Roman"/>
                <w:sz w:val="20"/>
                <w:szCs w:val="20"/>
                <w:lang w:eastAsia="ru-RU"/>
              </w:rPr>
              <w:t xml:space="preserve">Среднее время ожидания в очереди при обращении заявителя в орган государственной власти (орган местного самоуправления) для получения государственных (муниципальных) услуг, (минут) &lt;2&gt; </w:t>
            </w:r>
          </w:p>
        </w:tc>
        <w:tc>
          <w:tcPr>
            <w:tcW w:w="1843" w:type="dxa"/>
          </w:tcPr>
          <w:p w:rsidR="002C50AB" w:rsidRPr="00C8391B" w:rsidRDefault="002C50AB" w:rsidP="002C50AB">
            <w:pPr>
              <w:jc w:val="center"/>
              <w:rPr>
                <w:rFonts w:ascii="Times New Roman" w:eastAsia="Times New Roman" w:hAnsi="Times New Roman" w:cs="Times New Roman"/>
                <w:sz w:val="20"/>
                <w:szCs w:val="20"/>
                <w:lang w:eastAsia="ru-RU"/>
              </w:rPr>
            </w:pPr>
            <w:r w:rsidRPr="00C8391B">
              <w:rPr>
                <w:rFonts w:ascii="Times New Roman" w:eastAsia="Times New Roman" w:hAnsi="Times New Roman" w:cs="Times New Roman"/>
                <w:sz w:val="20"/>
                <w:szCs w:val="20"/>
                <w:lang w:eastAsia="ru-RU"/>
              </w:rPr>
              <w:t>15,0</w:t>
            </w:r>
          </w:p>
        </w:tc>
        <w:tc>
          <w:tcPr>
            <w:tcW w:w="1701" w:type="dxa"/>
          </w:tcPr>
          <w:p w:rsidR="002C50AB" w:rsidRPr="00C8391B" w:rsidRDefault="002C50AB" w:rsidP="002C50AB">
            <w:pPr>
              <w:jc w:val="center"/>
              <w:rPr>
                <w:rFonts w:ascii="Times New Roman" w:eastAsia="Times New Roman" w:hAnsi="Times New Roman" w:cs="Times New Roman"/>
                <w:sz w:val="20"/>
                <w:szCs w:val="20"/>
                <w:lang w:eastAsia="ru-RU"/>
              </w:rPr>
            </w:pPr>
            <w:r w:rsidRPr="00C8391B">
              <w:rPr>
                <w:rFonts w:ascii="Times New Roman" w:eastAsia="Times New Roman" w:hAnsi="Times New Roman" w:cs="Times New Roman"/>
                <w:sz w:val="20"/>
                <w:szCs w:val="20"/>
                <w:lang w:eastAsia="ru-RU"/>
              </w:rPr>
              <w:t>15,0</w:t>
            </w:r>
          </w:p>
        </w:tc>
        <w:tc>
          <w:tcPr>
            <w:tcW w:w="815" w:type="dxa"/>
          </w:tcPr>
          <w:p w:rsidR="002C50AB" w:rsidRPr="00C8391B" w:rsidRDefault="002C50AB" w:rsidP="002C50AB">
            <w:pPr>
              <w:jc w:val="center"/>
              <w:rPr>
                <w:rFonts w:ascii="Times New Roman" w:eastAsia="Times New Roman" w:hAnsi="Times New Roman" w:cs="Times New Roman"/>
                <w:sz w:val="20"/>
                <w:szCs w:val="20"/>
                <w:lang w:eastAsia="ru-RU"/>
              </w:rPr>
            </w:pPr>
            <w:r w:rsidRPr="00C8391B">
              <w:rPr>
                <w:rFonts w:ascii="Times New Roman" w:eastAsia="Times New Roman" w:hAnsi="Times New Roman" w:cs="Times New Roman"/>
                <w:sz w:val="20"/>
                <w:szCs w:val="20"/>
                <w:lang w:eastAsia="ru-RU"/>
              </w:rPr>
              <w:t>100,0</w:t>
            </w:r>
          </w:p>
        </w:tc>
      </w:tr>
      <w:tr w:rsidR="002C50AB" w:rsidTr="00F83FBF">
        <w:tc>
          <w:tcPr>
            <w:tcW w:w="709" w:type="dxa"/>
          </w:tcPr>
          <w:p w:rsidR="002C50AB" w:rsidRPr="00C8391B" w:rsidRDefault="002C50AB" w:rsidP="002C50AB">
            <w:pPr>
              <w:jc w:val="center"/>
              <w:rPr>
                <w:rFonts w:ascii="Times New Roman" w:eastAsia="Times New Roman" w:hAnsi="Times New Roman" w:cs="Times New Roman"/>
                <w:sz w:val="20"/>
                <w:szCs w:val="20"/>
                <w:lang w:eastAsia="ru-RU"/>
              </w:rPr>
            </w:pPr>
            <w:r w:rsidRPr="00C8391B">
              <w:rPr>
                <w:rFonts w:ascii="Times New Roman" w:eastAsia="Times New Roman" w:hAnsi="Times New Roman" w:cs="Times New Roman"/>
                <w:sz w:val="20"/>
                <w:szCs w:val="20"/>
                <w:lang w:eastAsia="ru-RU"/>
              </w:rPr>
              <w:t>8</w:t>
            </w:r>
          </w:p>
        </w:tc>
        <w:tc>
          <w:tcPr>
            <w:tcW w:w="4678" w:type="dxa"/>
          </w:tcPr>
          <w:p w:rsidR="00DC286C" w:rsidRPr="00C8391B" w:rsidRDefault="002C50AB" w:rsidP="008F7693">
            <w:pPr>
              <w:rPr>
                <w:rFonts w:ascii="Times New Roman" w:eastAsia="Times New Roman" w:hAnsi="Times New Roman" w:cs="Times New Roman"/>
                <w:sz w:val="20"/>
                <w:szCs w:val="20"/>
                <w:lang w:eastAsia="ru-RU"/>
              </w:rPr>
            </w:pPr>
            <w:r w:rsidRPr="00C8391B">
              <w:rPr>
                <w:rFonts w:ascii="Times New Roman" w:eastAsia="Times New Roman" w:hAnsi="Times New Roman" w:cs="Times New Roman"/>
                <w:sz w:val="20"/>
                <w:szCs w:val="20"/>
                <w:lang w:eastAsia="ru-RU"/>
              </w:rPr>
              <w:t>Охват пенсионеров дополнительным пенсионным обеспечением</w:t>
            </w:r>
            <w:proofErr w:type="gramStart"/>
            <w:r w:rsidRPr="00C8391B">
              <w:rPr>
                <w:rFonts w:ascii="Times New Roman" w:eastAsia="Times New Roman" w:hAnsi="Times New Roman" w:cs="Times New Roman"/>
                <w:sz w:val="20"/>
                <w:szCs w:val="20"/>
                <w:lang w:eastAsia="ru-RU"/>
              </w:rPr>
              <w:t>, (%)</w:t>
            </w:r>
            <w:proofErr w:type="gramEnd"/>
          </w:p>
        </w:tc>
        <w:tc>
          <w:tcPr>
            <w:tcW w:w="1843" w:type="dxa"/>
          </w:tcPr>
          <w:p w:rsidR="002C50AB" w:rsidRPr="00C8391B" w:rsidRDefault="002C50AB" w:rsidP="002C50AB">
            <w:pPr>
              <w:jc w:val="center"/>
              <w:rPr>
                <w:rFonts w:ascii="Times New Roman" w:eastAsia="Times New Roman" w:hAnsi="Times New Roman" w:cs="Times New Roman"/>
                <w:sz w:val="20"/>
                <w:szCs w:val="20"/>
                <w:lang w:eastAsia="ru-RU"/>
              </w:rPr>
            </w:pPr>
            <w:r w:rsidRPr="00C8391B">
              <w:rPr>
                <w:rFonts w:ascii="Times New Roman" w:eastAsia="Times New Roman" w:hAnsi="Times New Roman" w:cs="Times New Roman"/>
                <w:sz w:val="20"/>
                <w:szCs w:val="20"/>
                <w:lang w:eastAsia="ru-RU"/>
              </w:rPr>
              <w:t>52,1</w:t>
            </w:r>
          </w:p>
        </w:tc>
        <w:tc>
          <w:tcPr>
            <w:tcW w:w="1701" w:type="dxa"/>
          </w:tcPr>
          <w:p w:rsidR="002C50AB" w:rsidRPr="00C8391B" w:rsidRDefault="002C50AB" w:rsidP="002C50AB">
            <w:pPr>
              <w:jc w:val="center"/>
              <w:rPr>
                <w:rFonts w:ascii="Times New Roman" w:eastAsia="Times New Roman" w:hAnsi="Times New Roman" w:cs="Times New Roman"/>
                <w:sz w:val="20"/>
                <w:szCs w:val="20"/>
                <w:lang w:eastAsia="ru-RU"/>
              </w:rPr>
            </w:pPr>
            <w:r w:rsidRPr="00C8391B">
              <w:rPr>
                <w:rFonts w:ascii="Times New Roman" w:eastAsia="Times New Roman" w:hAnsi="Times New Roman" w:cs="Times New Roman"/>
                <w:sz w:val="20"/>
                <w:szCs w:val="20"/>
                <w:lang w:eastAsia="ru-RU"/>
              </w:rPr>
              <w:t>52,4</w:t>
            </w:r>
          </w:p>
        </w:tc>
        <w:tc>
          <w:tcPr>
            <w:tcW w:w="815" w:type="dxa"/>
          </w:tcPr>
          <w:p w:rsidR="002C50AB" w:rsidRPr="00C8391B" w:rsidRDefault="002C50AB" w:rsidP="002C50AB">
            <w:pPr>
              <w:jc w:val="center"/>
              <w:rPr>
                <w:rFonts w:ascii="Times New Roman" w:eastAsia="Times New Roman" w:hAnsi="Times New Roman" w:cs="Times New Roman"/>
                <w:sz w:val="20"/>
                <w:szCs w:val="20"/>
                <w:lang w:eastAsia="ru-RU"/>
              </w:rPr>
            </w:pPr>
            <w:r w:rsidRPr="00C8391B">
              <w:rPr>
                <w:rFonts w:ascii="Times New Roman" w:eastAsia="Times New Roman" w:hAnsi="Times New Roman" w:cs="Times New Roman"/>
                <w:sz w:val="20"/>
                <w:szCs w:val="20"/>
                <w:lang w:eastAsia="ru-RU"/>
              </w:rPr>
              <w:t>100,6</w:t>
            </w:r>
          </w:p>
        </w:tc>
      </w:tr>
      <w:tr w:rsidR="002C50AB" w:rsidTr="00F83FBF">
        <w:tc>
          <w:tcPr>
            <w:tcW w:w="709" w:type="dxa"/>
          </w:tcPr>
          <w:p w:rsidR="002C50AB" w:rsidRPr="00C8391B" w:rsidRDefault="002C50AB" w:rsidP="002C50AB">
            <w:pPr>
              <w:jc w:val="center"/>
              <w:rPr>
                <w:rFonts w:ascii="Times New Roman" w:eastAsia="Times New Roman" w:hAnsi="Times New Roman" w:cs="Times New Roman"/>
                <w:sz w:val="20"/>
                <w:szCs w:val="20"/>
                <w:lang w:eastAsia="ru-RU"/>
              </w:rPr>
            </w:pPr>
            <w:r w:rsidRPr="00C8391B">
              <w:rPr>
                <w:rFonts w:ascii="Times New Roman" w:eastAsia="Times New Roman" w:hAnsi="Times New Roman" w:cs="Times New Roman"/>
                <w:sz w:val="20"/>
                <w:szCs w:val="20"/>
                <w:lang w:eastAsia="ru-RU"/>
              </w:rPr>
              <w:t>9</w:t>
            </w:r>
          </w:p>
        </w:tc>
        <w:tc>
          <w:tcPr>
            <w:tcW w:w="4678" w:type="dxa"/>
          </w:tcPr>
          <w:p w:rsidR="00DC286C" w:rsidRPr="00C8391B" w:rsidRDefault="002C50AB" w:rsidP="002C50AB">
            <w:pPr>
              <w:rPr>
                <w:rFonts w:ascii="Times New Roman" w:eastAsia="Times New Roman" w:hAnsi="Times New Roman" w:cs="Times New Roman"/>
                <w:sz w:val="20"/>
                <w:szCs w:val="20"/>
                <w:lang w:eastAsia="ru-RU"/>
              </w:rPr>
            </w:pPr>
            <w:r w:rsidRPr="00C8391B">
              <w:rPr>
                <w:rFonts w:ascii="Times New Roman" w:eastAsia="Times New Roman" w:hAnsi="Times New Roman" w:cs="Times New Roman"/>
                <w:sz w:val="20"/>
                <w:szCs w:val="20"/>
                <w:lang w:eastAsia="ru-RU"/>
              </w:rPr>
              <w:t xml:space="preserve">Среднее число обращений представителей </w:t>
            </w:r>
            <w:proofErr w:type="gramStart"/>
            <w:r w:rsidRPr="00C8391B">
              <w:rPr>
                <w:rFonts w:ascii="Times New Roman" w:eastAsia="Times New Roman" w:hAnsi="Times New Roman" w:cs="Times New Roman"/>
                <w:sz w:val="20"/>
                <w:szCs w:val="20"/>
                <w:lang w:eastAsia="ru-RU"/>
              </w:rPr>
              <w:t>бизнес-сообществ</w:t>
            </w:r>
            <w:proofErr w:type="gramEnd"/>
            <w:r w:rsidRPr="00C8391B">
              <w:rPr>
                <w:rFonts w:ascii="Times New Roman" w:eastAsia="Times New Roman" w:hAnsi="Times New Roman" w:cs="Times New Roman"/>
                <w:sz w:val="20"/>
                <w:szCs w:val="20"/>
                <w:lang w:eastAsia="ru-RU"/>
              </w:rPr>
              <w:t xml:space="preserve"> в исполнительный орган государственной власти автономного округа (орган местного самоуправления) для получения одной государственной (муниципальной) услуги, связанной со сферой предпринимательской деятельности, (единиц)  &lt;6&gt;</w:t>
            </w:r>
          </w:p>
        </w:tc>
        <w:tc>
          <w:tcPr>
            <w:tcW w:w="1843" w:type="dxa"/>
          </w:tcPr>
          <w:p w:rsidR="002C50AB" w:rsidRPr="00C8391B" w:rsidRDefault="002C50AB" w:rsidP="002C50AB">
            <w:pPr>
              <w:jc w:val="center"/>
              <w:rPr>
                <w:rFonts w:ascii="Times New Roman" w:eastAsia="Times New Roman" w:hAnsi="Times New Roman" w:cs="Times New Roman"/>
                <w:sz w:val="20"/>
                <w:szCs w:val="20"/>
                <w:lang w:eastAsia="ru-RU"/>
              </w:rPr>
            </w:pPr>
            <w:r w:rsidRPr="00C8391B">
              <w:rPr>
                <w:rFonts w:ascii="Times New Roman" w:eastAsia="Times New Roman" w:hAnsi="Times New Roman" w:cs="Times New Roman"/>
                <w:sz w:val="20"/>
                <w:szCs w:val="20"/>
                <w:lang w:eastAsia="ru-RU"/>
              </w:rPr>
              <w:t>2,0</w:t>
            </w:r>
          </w:p>
        </w:tc>
        <w:tc>
          <w:tcPr>
            <w:tcW w:w="1701" w:type="dxa"/>
          </w:tcPr>
          <w:p w:rsidR="002C50AB" w:rsidRPr="00C8391B" w:rsidRDefault="002C50AB" w:rsidP="002C50AB">
            <w:pPr>
              <w:jc w:val="center"/>
              <w:rPr>
                <w:rFonts w:ascii="Times New Roman" w:eastAsia="Times New Roman" w:hAnsi="Times New Roman" w:cs="Times New Roman"/>
                <w:sz w:val="20"/>
                <w:szCs w:val="20"/>
                <w:lang w:eastAsia="ru-RU"/>
              </w:rPr>
            </w:pPr>
            <w:r w:rsidRPr="00C8391B">
              <w:rPr>
                <w:rFonts w:ascii="Times New Roman" w:eastAsia="Times New Roman" w:hAnsi="Times New Roman" w:cs="Times New Roman"/>
                <w:sz w:val="20"/>
                <w:szCs w:val="20"/>
                <w:lang w:eastAsia="ru-RU"/>
              </w:rPr>
              <w:t>2,0</w:t>
            </w:r>
          </w:p>
        </w:tc>
        <w:tc>
          <w:tcPr>
            <w:tcW w:w="815" w:type="dxa"/>
          </w:tcPr>
          <w:p w:rsidR="002C50AB" w:rsidRPr="00C8391B" w:rsidRDefault="002C50AB" w:rsidP="002C50AB">
            <w:pPr>
              <w:jc w:val="center"/>
              <w:rPr>
                <w:rFonts w:ascii="Times New Roman" w:eastAsia="Times New Roman" w:hAnsi="Times New Roman" w:cs="Times New Roman"/>
                <w:sz w:val="20"/>
                <w:szCs w:val="20"/>
                <w:lang w:eastAsia="ru-RU"/>
              </w:rPr>
            </w:pPr>
            <w:r w:rsidRPr="00C8391B">
              <w:rPr>
                <w:rFonts w:ascii="Times New Roman" w:eastAsia="Times New Roman" w:hAnsi="Times New Roman" w:cs="Times New Roman"/>
                <w:sz w:val="20"/>
                <w:szCs w:val="20"/>
                <w:lang w:eastAsia="ru-RU"/>
              </w:rPr>
              <w:t>100,0</w:t>
            </w:r>
          </w:p>
        </w:tc>
      </w:tr>
      <w:tr w:rsidR="002C50AB" w:rsidTr="00F83FBF">
        <w:tc>
          <w:tcPr>
            <w:tcW w:w="709" w:type="dxa"/>
          </w:tcPr>
          <w:p w:rsidR="002C50AB" w:rsidRPr="00C8391B" w:rsidRDefault="002C50AB" w:rsidP="002C50AB">
            <w:pPr>
              <w:jc w:val="center"/>
              <w:rPr>
                <w:rFonts w:ascii="Times New Roman" w:eastAsia="Times New Roman" w:hAnsi="Times New Roman" w:cs="Times New Roman"/>
                <w:sz w:val="20"/>
                <w:szCs w:val="20"/>
                <w:lang w:eastAsia="ru-RU"/>
              </w:rPr>
            </w:pPr>
            <w:r w:rsidRPr="00C8391B">
              <w:rPr>
                <w:rFonts w:ascii="Times New Roman" w:eastAsia="Times New Roman" w:hAnsi="Times New Roman" w:cs="Times New Roman"/>
                <w:sz w:val="20"/>
                <w:szCs w:val="20"/>
                <w:lang w:eastAsia="ru-RU"/>
              </w:rPr>
              <w:t>10</w:t>
            </w:r>
          </w:p>
        </w:tc>
        <w:tc>
          <w:tcPr>
            <w:tcW w:w="4678" w:type="dxa"/>
          </w:tcPr>
          <w:p w:rsidR="002C50AB" w:rsidRPr="00C8391B" w:rsidRDefault="002C50AB" w:rsidP="002C50AB">
            <w:pPr>
              <w:rPr>
                <w:rFonts w:ascii="Times New Roman" w:eastAsia="Times New Roman" w:hAnsi="Times New Roman" w:cs="Times New Roman"/>
                <w:sz w:val="20"/>
                <w:szCs w:val="20"/>
                <w:lang w:eastAsia="ru-RU"/>
              </w:rPr>
            </w:pPr>
            <w:r w:rsidRPr="00C8391B">
              <w:rPr>
                <w:rFonts w:ascii="Times New Roman" w:eastAsia="Times New Roman" w:hAnsi="Times New Roman" w:cs="Times New Roman"/>
                <w:sz w:val="20"/>
                <w:szCs w:val="20"/>
                <w:lang w:eastAsia="ru-RU"/>
              </w:rPr>
              <w:t>Количество презентаций инвестиционного и экспортного потенциала Ханты-Мансийского автономного округа – Югры, проведенных за рубежом, ежегодно, (единиц)</w:t>
            </w:r>
          </w:p>
        </w:tc>
        <w:tc>
          <w:tcPr>
            <w:tcW w:w="1843" w:type="dxa"/>
          </w:tcPr>
          <w:p w:rsidR="002C50AB" w:rsidRPr="00C8391B" w:rsidRDefault="002C50AB" w:rsidP="002C50AB">
            <w:pPr>
              <w:jc w:val="center"/>
              <w:rPr>
                <w:rFonts w:ascii="Times New Roman" w:eastAsia="Times New Roman" w:hAnsi="Times New Roman" w:cs="Times New Roman"/>
                <w:sz w:val="20"/>
                <w:szCs w:val="20"/>
                <w:lang w:eastAsia="ru-RU"/>
              </w:rPr>
            </w:pPr>
            <w:r w:rsidRPr="00C8391B">
              <w:rPr>
                <w:rFonts w:ascii="Times New Roman" w:eastAsia="Times New Roman" w:hAnsi="Times New Roman" w:cs="Times New Roman"/>
                <w:sz w:val="20"/>
                <w:szCs w:val="20"/>
                <w:lang w:eastAsia="ru-RU"/>
              </w:rPr>
              <w:t>6,0</w:t>
            </w:r>
          </w:p>
        </w:tc>
        <w:tc>
          <w:tcPr>
            <w:tcW w:w="1701" w:type="dxa"/>
          </w:tcPr>
          <w:p w:rsidR="002C50AB" w:rsidRPr="00C8391B" w:rsidRDefault="002C50AB" w:rsidP="002C50AB">
            <w:pPr>
              <w:jc w:val="center"/>
              <w:rPr>
                <w:rFonts w:ascii="Times New Roman" w:eastAsia="Times New Roman" w:hAnsi="Times New Roman" w:cs="Times New Roman"/>
                <w:sz w:val="20"/>
                <w:szCs w:val="20"/>
                <w:lang w:eastAsia="ru-RU"/>
              </w:rPr>
            </w:pPr>
            <w:r w:rsidRPr="00C8391B">
              <w:rPr>
                <w:rFonts w:ascii="Times New Roman" w:eastAsia="Times New Roman" w:hAnsi="Times New Roman" w:cs="Times New Roman"/>
                <w:sz w:val="20"/>
                <w:szCs w:val="20"/>
                <w:lang w:eastAsia="ru-RU"/>
              </w:rPr>
              <w:t>6,0</w:t>
            </w:r>
          </w:p>
        </w:tc>
        <w:tc>
          <w:tcPr>
            <w:tcW w:w="815" w:type="dxa"/>
          </w:tcPr>
          <w:p w:rsidR="002C50AB" w:rsidRPr="00C8391B" w:rsidRDefault="002C50AB" w:rsidP="002C50AB">
            <w:pPr>
              <w:jc w:val="center"/>
              <w:rPr>
                <w:rFonts w:ascii="Times New Roman" w:eastAsia="Times New Roman" w:hAnsi="Times New Roman" w:cs="Times New Roman"/>
                <w:sz w:val="20"/>
                <w:szCs w:val="20"/>
                <w:lang w:eastAsia="ru-RU"/>
              </w:rPr>
            </w:pPr>
            <w:r w:rsidRPr="00C8391B">
              <w:rPr>
                <w:rFonts w:ascii="Times New Roman" w:eastAsia="Times New Roman" w:hAnsi="Times New Roman" w:cs="Times New Roman"/>
                <w:sz w:val="20"/>
                <w:szCs w:val="20"/>
                <w:lang w:eastAsia="ru-RU"/>
              </w:rPr>
              <w:t>100,0</w:t>
            </w:r>
          </w:p>
        </w:tc>
      </w:tr>
      <w:tr w:rsidR="002C50AB" w:rsidTr="00F83FBF">
        <w:tc>
          <w:tcPr>
            <w:tcW w:w="709" w:type="dxa"/>
          </w:tcPr>
          <w:p w:rsidR="002C50AB" w:rsidRPr="00C8391B" w:rsidRDefault="002C50AB" w:rsidP="002C50AB">
            <w:pPr>
              <w:jc w:val="center"/>
              <w:rPr>
                <w:rFonts w:ascii="Times New Roman" w:eastAsia="Times New Roman" w:hAnsi="Times New Roman" w:cs="Times New Roman"/>
                <w:sz w:val="20"/>
                <w:szCs w:val="20"/>
                <w:lang w:eastAsia="ru-RU"/>
              </w:rPr>
            </w:pPr>
            <w:r w:rsidRPr="00C8391B">
              <w:rPr>
                <w:rFonts w:ascii="Times New Roman" w:eastAsia="Times New Roman" w:hAnsi="Times New Roman" w:cs="Times New Roman"/>
                <w:sz w:val="20"/>
                <w:szCs w:val="20"/>
                <w:lang w:eastAsia="ru-RU"/>
              </w:rPr>
              <w:t>11</w:t>
            </w:r>
          </w:p>
        </w:tc>
        <w:tc>
          <w:tcPr>
            <w:tcW w:w="4678" w:type="dxa"/>
          </w:tcPr>
          <w:p w:rsidR="00DC286C" w:rsidRPr="00C8391B" w:rsidRDefault="002C50AB" w:rsidP="008F7693">
            <w:pPr>
              <w:rPr>
                <w:rFonts w:ascii="Times New Roman" w:eastAsia="Times New Roman" w:hAnsi="Times New Roman" w:cs="Times New Roman"/>
                <w:sz w:val="20"/>
                <w:szCs w:val="20"/>
                <w:lang w:eastAsia="ru-RU"/>
              </w:rPr>
            </w:pPr>
            <w:r w:rsidRPr="00C8391B">
              <w:rPr>
                <w:rFonts w:ascii="Times New Roman" w:eastAsia="Times New Roman" w:hAnsi="Times New Roman" w:cs="Times New Roman"/>
                <w:sz w:val="20"/>
                <w:szCs w:val="20"/>
                <w:lang w:eastAsia="ru-RU"/>
              </w:rPr>
              <w:t xml:space="preserve">Количество </w:t>
            </w:r>
            <w:proofErr w:type="gramStart"/>
            <w:r w:rsidRPr="00C8391B">
              <w:rPr>
                <w:rFonts w:ascii="Times New Roman" w:eastAsia="Times New Roman" w:hAnsi="Times New Roman" w:cs="Times New Roman"/>
                <w:sz w:val="20"/>
                <w:szCs w:val="20"/>
                <w:lang w:eastAsia="ru-RU"/>
              </w:rPr>
              <w:t>бизнес-миссий</w:t>
            </w:r>
            <w:proofErr w:type="gramEnd"/>
            <w:r w:rsidRPr="00C8391B">
              <w:rPr>
                <w:rFonts w:ascii="Times New Roman" w:eastAsia="Times New Roman" w:hAnsi="Times New Roman" w:cs="Times New Roman"/>
                <w:sz w:val="20"/>
                <w:szCs w:val="20"/>
                <w:lang w:eastAsia="ru-RU"/>
              </w:rPr>
              <w:t xml:space="preserve"> в зарубежные страны, ежегодно, (единиц)</w:t>
            </w:r>
          </w:p>
        </w:tc>
        <w:tc>
          <w:tcPr>
            <w:tcW w:w="1843" w:type="dxa"/>
          </w:tcPr>
          <w:p w:rsidR="002C50AB" w:rsidRPr="00C8391B" w:rsidRDefault="002C50AB" w:rsidP="002C50AB">
            <w:pPr>
              <w:jc w:val="center"/>
              <w:rPr>
                <w:rFonts w:ascii="Times New Roman" w:eastAsia="Times New Roman" w:hAnsi="Times New Roman" w:cs="Times New Roman"/>
                <w:sz w:val="20"/>
                <w:szCs w:val="20"/>
                <w:lang w:eastAsia="ru-RU"/>
              </w:rPr>
            </w:pPr>
            <w:r w:rsidRPr="00C8391B">
              <w:rPr>
                <w:rFonts w:ascii="Times New Roman" w:eastAsia="Times New Roman" w:hAnsi="Times New Roman" w:cs="Times New Roman"/>
                <w:sz w:val="20"/>
                <w:szCs w:val="20"/>
                <w:lang w:eastAsia="ru-RU"/>
              </w:rPr>
              <w:t>6,0</w:t>
            </w:r>
          </w:p>
        </w:tc>
        <w:tc>
          <w:tcPr>
            <w:tcW w:w="1701" w:type="dxa"/>
          </w:tcPr>
          <w:p w:rsidR="002C50AB" w:rsidRPr="00C8391B" w:rsidRDefault="002C50AB" w:rsidP="002C50AB">
            <w:pPr>
              <w:jc w:val="center"/>
              <w:rPr>
                <w:rFonts w:ascii="Times New Roman" w:eastAsia="Times New Roman" w:hAnsi="Times New Roman" w:cs="Times New Roman"/>
                <w:sz w:val="20"/>
                <w:szCs w:val="20"/>
                <w:lang w:eastAsia="ru-RU"/>
              </w:rPr>
            </w:pPr>
            <w:r w:rsidRPr="00C8391B">
              <w:rPr>
                <w:rFonts w:ascii="Times New Roman" w:eastAsia="Times New Roman" w:hAnsi="Times New Roman" w:cs="Times New Roman"/>
                <w:sz w:val="20"/>
                <w:szCs w:val="20"/>
                <w:lang w:eastAsia="ru-RU"/>
              </w:rPr>
              <w:t>6,0</w:t>
            </w:r>
          </w:p>
        </w:tc>
        <w:tc>
          <w:tcPr>
            <w:tcW w:w="815" w:type="dxa"/>
          </w:tcPr>
          <w:p w:rsidR="002C50AB" w:rsidRPr="00C8391B" w:rsidRDefault="002C50AB" w:rsidP="002C50AB">
            <w:pPr>
              <w:jc w:val="center"/>
              <w:rPr>
                <w:rFonts w:ascii="Times New Roman" w:eastAsia="Times New Roman" w:hAnsi="Times New Roman" w:cs="Times New Roman"/>
                <w:sz w:val="20"/>
                <w:szCs w:val="20"/>
                <w:lang w:eastAsia="ru-RU"/>
              </w:rPr>
            </w:pPr>
            <w:r w:rsidRPr="00C8391B">
              <w:rPr>
                <w:rFonts w:ascii="Times New Roman" w:eastAsia="Times New Roman" w:hAnsi="Times New Roman" w:cs="Times New Roman"/>
                <w:sz w:val="20"/>
                <w:szCs w:val="20"/>
                <w:lang w:eastAsia="ru-RU"/>
              </w:rPr>
              <w:t>100,0</w:t>
            </w:r>
          </w:p>
        </w:tc>
      </w:tr>
      <w:tr w:rsidR="002C50AB" w:rsidTr="00F83FBF">
        <w:tc>
          <w:tcPr>
            <w:tcW w:w="709" w:type="dxa"/>
          </w:tcPr>
          <w:p w:rsidR="002C50AB" w:rsidRPr="00C8391B" w:rsidRDefault="002C50AB" w:rsidP="002C50AB">
            <w:pPr>
              <w:jc w:val="center"/>
              <w:rPr>
                <w:rFonts w:ascii="Times New Roman" w:eastAsia="Times New Roman" w:hAnsi="Times New Roman" w:cs="Times New Roman"/>
                <w:sz w:val="20"/>
                <w:szCs w:val="20"/>
                <w:lang w:eastAsia="ru-RU"/>
              </w:rPr>
            </w:pPr>
            <w:r w:rsidRPr="00C8391B">
              <w:rPr>
                <w:rFonts w:ascii="Times New Roman" w:eastAsia="Times New Roman" w:hAnsi="Times New Roman" w:cs="Times New Roman"/>
                <w:sz w:val="20"/>
                <w:szCs w:val="20"/>
                <w:lang w:eastAsia="ru-RU"/>
              </w:rPr>
              <w:t>12</w:t>
            </w:r>
          </w:p>
        </w:tc>
        <w:tc>
          <w:tcPr>
            <w:tcW w:w="4678" w:type="dxa"/>
          </w:tcPr>
          <w:p w:rsidR="002C50AB" w:rsidRPr="00C8391B" w:rsidRDefault="002C50AB" w:rsidP="002C50AB">
            <w:pPr>
              <w:rPr>
                <w:rFonts w:ascii="Times New Roman" w:eastAsia="Times New Roman" w:hAnsi="Times New Roman" w:cs="Times New Roman"/>
                <w:sz w:val="20"/>
                <w:szCs w:val="20"/>
                <w:lang w:eastAsia="ru-RU"/>
              </w:rPr>
            </w:pPr>
            <w:r w:rsidRPr="00C8391B">
              <w:rPr>
                <w:rFonts w:ascii="Times New Roman" w:eastAsia="Times New Roman" w:hAnsi="Times New Roman" w:cs="Times New Roman"/>
                <w:sz w:val="20"/>
                <w:szCs w:val="20"/>
                <w:lang w:eastAsia="ru-RU"/>
              </w:rPr>
              <w:t xml:space="preserve">Количество </w:t>
            </w:r>
            <w:proofErr w:type="gramStart"/>
            <w:r w:rsidRPr="00C8391B">
              <w:rPr>
                <w:rFonts w:ascii="Times New Roman" w:eastAsia="Times New Roman" w:hAnsi="Times New Roman" w:cs="Times New Roman"/>
                <w:sz w:val="20"/>
                <w:szCs w:val="20"/>
                <w:lang w:eastAsia="ru-RU"/>
              </w:rPr>
              <w:t>бизнес-миссий</w:t>
            </w:r>
            <w:proofErr w:type="gramEnd"/>
            <w:r w:rsidRPr="00C8391B">
              <w:rPr>
                <w:rFonts w:ascii="Times New Roman" w:eastAsia="Times New Roman" w:hAnsi="Times New Roman" w:cs="Times New Roman"/>
                <w:sz w:val="20"/>
                <w:szCs w:val="20"/>
                <w:lang w:eastAsia="ru-RU"/>
              </w:rPr>
              <w:t xml:space="preserve"> в зарубежные страны, организованных при поддержке исполнительных органов государственной власти автономного округа, в том числе при содействии торговых представительств РФ в иностранных государствах, ежегодно, (единиц)</w:t>
            </w:r>
          </w:p>
        </w:tc>
        <w:tc>
          <w:tcPr>
            <w:tcW w:w="1843" w:type="dxa"/>
          </w:tcPr>
          <w:p w:rsidR="002C50AB" w:rsidRPr="00C8391B" w:rsidRDefault="002C50AB" w:rsidP="002C50AB">
            <w:pPr>
              <w:jc w:val="center"/>
              <w:rPr>
                <w:rFonts w:ascii="Times New Roman" w:eastAsia="Times New Roman" w:hAnsi="Times New Roman" w:cs="Times New Roman"/>
                <w:sz w:val="20"/>
                <w:szCs w:val="20"/>
                <w:lang w:eastAsia="ru-RU"/>
              </w:rPr>
            </w:pPr>
            <w:r w:rsidRPr="00C8391B">
              <w:rPr>
                <w:rFonts w:ascii="Times New Roman" w:eastAsia="Times New Roman" w:hAnsi="Times New Roman" w:cs="Times New Roman"/>
                <w:sz w:val="20"/>
                <w:szCs w:val="20"/>
                <w:lang w:eastAsia="ru-RU"/>
              </w:rPr>
              <w:t>6,0</w:t>
            </w:r>
          </w:p>
        </w:tc>
        <w:tc>
          <w:tcPr>
            <w:tcW w:w="1701" w:type="dxa"/>
          </w:tcPr>
          <w:p w:rsidR="002C50AB" w:rsidRPr="00C8391B" w:rsidRDefault="002C50AB" w:rsidP="002C50AB">
            <w:pPr>
              <w:jc w:val="center"/>
              <w:rPr>
                <w:rFonts w:ascii="Times New Roman" w:eastAsia="Times New Roman" w:hAnsi="Times New Roman" w:cs="Times New Roman"/>
                <w:sz w:val="20"/>
                <w:szCs w:val="20"/>
                <w:lang w:eastAsia="ru-RU"/>
              </w:rPr>
            </w:pPr>
            <w:r w:rsidRPr="00C8391B">
              <w:rPr>
                <w:rFonts w:ascii="Times New Roman" w:eastAsia="Times New Roman" w:hAnsi="Times New Roman" w:cs="Times New Roman"/>
                <w:sz w:val="20"/>
                <w:szCs w:val="20"/>
                <w:lang w:eastAsia="ru-RU"/>
              </w:rPr>
              <w:t>6,0</w:t>
            </w:r>
          </w:p>
        </w:tc>
        <w:tc>
          <w:tcPr>
            <w:tcW w:w="815" w:type="dxa"/>
          </w:tcPr>
          <w:p w:rsidR="002C50AB" w:rsidRPr="00C8391B" w:rsidRDefault="002C50AB" w:rsidP="002C50AB">
            <w:pPr>
              <w:jc w:val="center"/>
              <w:rPr>
                <w:rFonts w:ascii="Times New Roman" w:eastAsia="Times New Roman" w:hAnsi="Times New Roman" w:cs="Times New Roman"/>
                <w:sz w:val="20"/>
                <w:szCs w:val="20"/>
                <w:lang w:eastAsia="ru-RU"/>
              </w:rPr>
            </w:pPr>
            <w:r w:rsidRPr="00C8391B">
              <w:rPr>
                <w:rFonts w:ascii="Times New Roman" w:eastAsia="Times New Roman" w:hAnsi="Times New Roman" w:cs="Times New Roman"/>
                <w:sz w:val="20"/>
                <w:szCs w:val="20"/>
                <w:lang w:eastAsia="ru-RU"/>
              </w:rPr>
              <w:t>100,0</w:t>
            </w:r>
          </w:p>
        </w:tc>
      </w:tr>
      <w:tr w:rsidR="002C50AB" w:rsidTr="00F83FBF">
        <w:tc>
          <w:tcPr>
            <w:tcW w:w="709" w:type="dxa"/>
          </w:tcPr>
          <w:p w:rsidR="002C50AB" w:rsidRPr="00C8391B" w:rsidRDefault="002C50AB" w:rsidP="002C50AB">
            <w:pPr>
              <w:jc w:val="center"/>
              <w:rPr>
                <w:rFonts w:ascii="Times New Roman" w:eastAsia="Times New Roman" w:hAnsi="Times New Roman" w:cs="Times New Roman"/>
                <w:sz w:val="20"/>
                <w:szCs w:val="20"/>
                <w:lang w:eastAsia="ru-RU"/>
              </w:rPr>
            </w:pPr>
            <w:r w:rsidRPr="00C8391B">
              <w:rPr>
                <w:rFonts w:ascii="Times New Roman" w:eastAsia="Times New Roman" w:hAnsi="Times New Roman" w:cs="Times New Roman"/>
                <w:sz w:val="20"/>
                <w:szCs w:val="20"/>
                <w:lang w:eastAsia="ru-RU"/>
              </w:rPr>
              <w:t>13</w:t>
            </w:r>
          </w:p>
        </w:tc>
        <w:tc>
          <w:tcPr>
            <w:tcW w:w="4678" w:type="dxa"/>
          </w:tcPr>
          <w:p w:rsidR="00DC286C" w:rsidRPr="00C8391B" w:rsidRDefault="002C50AB" w:rsidP="00DC286C">
            <w:pPr>
              <w:rPr>
                <w:rFonts w:ascii="Times New Roman" w:eastAsia="Times New Roman" w:hAnsi="Times New Roman" w:cs="Times New Roman"/>
                <w:sz w:val="20"/>
                <w:szCs w:val="20"/>
                <w:lang w:eastAsia="ru-RU"/>
              </w:rPr>
            </w:pPr>
            <w:r w:rsidRPr="00C8391B">
              <w:rPr>
                <w:rFonts w:ascii="Times New Roman" w:eastAsia="Times New Roman" w:hAnsi="Times New Roman" w:cs="Times New Roman"/>
                <w:sz w:val="20"/>
                <w:szCs w:val="20"/>
                <w:lang w:eastAsia="ru-RU"/>
              </w:rPr>
              <w:t>Количество организаций, принимавших участие в зарубежных выставочно-ярмарочных мероприятиях, ежегодно, (единиц)</w:t>
            </w:r>
          </w:p>
        </w:tc>
        <w:tc>
          <w:tcPr>
            <w:tcW w:w="1843" w:type="dxa"/>
          </w:tcPr>
          <w:p w:rsidR="002C50AB" w:rsidRPr="00C8391B" w:rsidRDefault="002C50AB" w:rsidP="002C50AB">
            <w:pPr>
              <w:jc w:val="center"/>
              <w:rPr>
                <w:rFonts w:ascii="Times New Roman" w:eastAsia="Times New Roman" w:hAnsi="Times New Roman" w:cs="Times New Roman"/>
                <w:sz w:val="20"/>
                <w:szCs w:val="20"/>
                <w:lang w:eastAsia="ru-RU"/>
              </w:rPr>
            </w:pPr>
            <w:r w:rsidRPr="00C8391B">
              <w:rPr>
                <w:rFonts w:ascii="Times New Roman" w:eastAsia="Times New Roman" w:hAnsi="Times New Roman" w:cs="Times New Roman"/>
                <w:sz w:val="20"/>
                <w:szCs w:val="20"/>
                <w:lang w:eastAsia="ru-RU"/>
              </w:rPr>
              <w:t>40,0</w:t>
            </w:r>
          </w:p>
        </w:tc>
        <w:tc>
          <w:tcPr>
            <w:tcW w:w="1701" w:type="dxa"/>
          </w:tcPr>
          <w:p w:rsidR="002C50AB" w:rsidRPr="00C8391B" w:rsidRDefault="002C50AB" w:rsidP="002C50AB">
            <w:pPr>
              <w:jc w:val="center"/>
              <w:rPr>
                <w:rFonts w:ascii="Times New Roman" w:eastAsia="Times New Roman" w:hAnsi="Times New Roman" w:cs="Times New Roman"/>
                <w:sz w:val="20"/>
                <w:szCs w:val="20"/>
                <w:lang w:eastAsia="ru-RU"/>
              </w:rPr>
            </w:pPr>
            <w:r w:rsidRPr="00C8391B">
              <w:rPr>
                <w:rFonts w:ascii="Times New Roman" w:eastAsia="Times New Roman" w:hAnsi="Times New Roman" w:cs="Times New Roman"/>
                <w:sz w:val="20"/>
                <w:szCs w:val="20"/>
                <w:lang w:eastAsia="ru-RU"/>
              </w:rPr>
              <w:t>45,0</w:t>
            </w:r>
          </w:p>
        </w:tc>
        <w:tc>
          <w:tcPr>
            <w:tcW w:w="815" w:type="dxa"/>
          </w:tcPr>
          <w:p w:rsidR="002C50AB" w:rsidRPr="00C8391B" w:rsidRDefault="002C50AB" w:rsidP="002C50AB">
            <w:pPr>
              <w:jc w:val="center"/>
              <w:rPr>
                <w:rFonts w:ascii="Times New Roman" w:eastAsia="Times New Roman" w:hAnsi="Times New Roman" w:cs="Times New Roman"/>
                <w:sz w:val="20"/>
                <w:szCs w:val="20"/>
                <w:lang w:eastAsia="ru-RU"/>
              </w:rPr>
            </w:pPr>
            <w:r w:rsidRPr="00C8391B">
              <w:rPr>
                <w:rFonts w:ascii="Times New Roman" w:eastAsia="Times New Roman" w:hAnsi="Times New Roman" w:cs="Times New Roman"/>
                <w:sz w:val="20"/>
                <w:szCs w:val="20"/>
                <w:lang w:eastAsia="ru-RU"/>
              </w:rPr>
              <w:t>112,5</w:t>
            </w:r>
          </w:p>
        </w:tc>
      </w:tr>
      <w:tr w:rsidR="002C50AB" w:rsidTr="00F83FBF">
        <w:tc>
          <w:tcPr>
            <w:tcW w:w="709" w:type="dxa"/>
          </w:tcPr>
          <w:p w:rsidR="002C50AB" w:rsidRPr="00C8391B" w:rsidRDefault="002C50AB" w:rsidP="002C50AB">
            <w:pPr>
              <w:jc w:val="center"/>
              <w:rPr>
                <w:rFonts w:ascii="Times New Roman" w:eastAsia="Times New Roman" w:hAnsi="Times New Roman" w:cs="Times New Roman"/>
                <w:sz w:val="20"/>
                <w:szCs w:val="20"/>
                <w:lang w:eastAsia="ru-RU"/>
              </w:rPr>
            </w:pPr>
            <w:r w:rsidRPr="00C8391B">
              <w:rPr>
                <w:rFonts w:ascii="Times New Roman" w:eastAsia="Times New Roman" w:hAnsi="Times New Roman" w:cs="Times New Roman"/>
                <w:sz w:val="20"/>
                <w:szCs w:val="20"/>
                <w:lang w:eastAsia="ru-RU"/>
              </w:rPr>
              <w:t>14</w:t>
            </w:r>
          </w:p>
        </w:tc>
        <w:tc>
          <w:tcPr>
            <w:tcW w:w="4678" w:type="dxa"/>
          </w:tcPr>
          <w:p w:rsidR="002C50AB" w:rsidRPr="00C8391B" w:rsidRDefault="002C50AB" w:rsidP="002C50AB">
            <w:pPr>
              <w:rPr>
                <w:rFonts w:ascii="Times New Roman" w:eastAsia="Times New Roman" w:hAnsi="Times New Roman" w:cs="Times New Roman"/>
                <w:sz w:val="20"/>
                <w:szCs w:val="20"/>
                <w:lang w:eastAsia="ru-RU"/>
              </w:rPr>
            </w:pPr>
            <w:r w:rsidRPr="00C8391B">
              <w:rPr>
                <w:rFonts w:ascii="Times New Roman" w:eastAsia="Times New Roman" w:hAnsi="Times New Roman" w:cs="Times New Roman"/>
                <w:sz w:val="20"/>
                <w:szCs w:val="20"/>
                <w:lang w:eastAsia="ru-RU"/>
              </w:rPr>
              <w:t>Количество проводимых семинаров для организаций по различным аспектам внешнеэкономической деятельности, ежегодно, (единиц)</w:t>
            </w:r>
          </w:p>
        </w:tc>
        <w:tc>
          <w:tcPr>
            <w:tcW w:w="1843" w:type="dxa"/>
          </w:tcPr>
          <w:p w:rsidR="002C50AB" w:rsidRPr="00C8391B" w:rsidRDefault="002C50AB" w:rsidP="002C50AB">
            <w:pPr>
              <w:jc w:val="center"/>
              <w:rPr>
                <w:rFonts w:ascii="Times New Roman" w:eastAsia="Times New Roman" w:hAnsi="Times New Roman" w:cs="Times New Roman"/>
                <w:sz w:val="20"/>
                <w:szCs w:val="20"/>
                <w:lang w:eastAsia="ru-RU"/>
              </w:rPr>
            </w:pPr>
            <w:r w:rsidRPr="00C8391B">
              <w:rPr>
                <w:rFonts w:ascii="Times New Roman" w:eastAsia="Times New Roman" w:hAnsi="Times New Roman" w:cs="Times New Roman"/>
                <w:sz w:val="20"/>
                <w:szCs w:val="20"/>
                <w:lang w:eastAsia="ru-RU"/>
              </w:rPr>
              <w:t>12,0</w:t>
            </w:r>
          </w:p>
        </w:tc>
        <w:tc>
          <w:tcPr>
            <w:tcW w:w="1701" w:type="dxa"/>
          </w:tcPr>
          <w:p w:rsidR="002C50AB" w:rsidRPr="00C8391B" w:rsidRDefault="002C50AB" w:rsidP="002C50AB">
            <w:pPr>
              <w:jc w:val="center"/>
              <w:rPr>
                <w:rFonts w:ascii="Times New Roman" w:eastAsia="Times New Roman" w:hAnsi="Times New Roman" w:cs="Times New Roman"/>
                <w:sz w:val="20"/>
                <w:szCs w:val="20"/>
                <w:lang w:eastAsia="ru-RU"/>
              </w:rPr>
            </w:pPr>
            <w:r w:rsidRPr="00C8391B">
              <w:rPr>
                <w:rFonts w:ascii="Times New Roman" w:eastAsia="Times New Roman" w:hAnsi="Times New Roman" w:cs="Times New Roman"/>
                <w:sz w:val="20"/>
                <w:szCs w:val="20"/>
                <w:lang w:eastAsia="ru-RU"/>
              </w:rPr>
              <w:t>14,0</w:t>
            </w:r>
          </w:p>
        </w:tc>
        <w:tc>
          <w:tcPr>
            <w:tcW w:w="815" w:type="dxa"/>
          </w:tcPr>
          <w:p w:rsidR="002C50AB" w:rsidRPr="00C8391B" w:rsidRDefault="002C50AB" w:rsidP="002C50AB">
            <w:pPr>
              <w:jc w:val="center"/>
              <w:rPr>
                <w:rFonts w:ascii="Times New Roman" w:eastAsia="Times New Roman" w:hAnsi="Times New Roman" w:cs="Times New Roman"/>
                <w:sz w:val="20"/>
                <w:szCs w:val="20"/>
                <w:lang w:eastAsia="ru-RU"/>
              </w:rPr>
            </w:pPr>
            <w:r w:rsidRPr="00C8391B">
              <w:rPr>
                <w:rFonts w:ascii="Times New Roman" w:eastAsia="Times New Roman" w:hAnsi="Times New Roman" w:cs="Times New Roman"/>
                <w:sz w:val="20"/>
                <w:szCs w:val="20"/>
                <w:lang w:eastAsia="ru-RU"/>
              </w:rPr>
              <w:t>116,7</w:t>
            </w:r>
          </w:p>
        </w:tc>
      </w:tr>
      <w:tr w:rsidR="002C50AB" w:rsidTr="00F83FBF">
        <w:tc>
          <w:tcPr>
            <w:tcW w:w="709" w:type="dxa"/>
          </w:tcPr>
          <w:p w:rsidR="002C50AB" w:rsidRPr="00C8391B" w:rsidRDefault="002C50AB" w:rsidP="002C50AB">
            <w:pPr>
              <w:jc w:val="center"/>
              <w:rPr>
                <w:rFonts w:ascii="Times New Roman" w:eastAsia="Times New Roman" w:hAnsi="Times New Roman" w:cs="Times New Roman"/>
                <w:sz w:val="20"/>
                <w:szCs w:val="20"/>
                <w:lang w:eastAsia="ru-RU"/>
              </w:rPr>
            </w:pPr>
            <w:r w:rsidRPr="00C8391B">
              <w:rPr>
                <w:rFonts w:ascii="Times New Roman" w:eastAsia="Times New Roman" w:hAnsi="Times New Roman" w:cs="Times New Roman"/>
                <w:sz w:val="20"/>
                <w:szCs w:val="20"/>
                <w:lang w:eastAsia="ru-RU"/>
              </w:rPr>
              <w:t>15</w:t>
            </w:r>
          </w:p>
        </w:tc>
        <w:tc>
          <w:tcPr>
            <w:tcW w:w="4678" w:type="dxa"/>
          </w:tcPr>
          <w:p w:rsidR="002C50AB" w:rsidRPr="00C8391B" w:rsidRDefault="002C50AB" w:rsidP="002C50AB">
            <w:pPr>
              <w:rPr>
                <w:rFonts w:ascii="Times New Roman" w:eastAsia="Times New Roman" w:hAnsi="Times New Roman" w:cs="Times New Roman"/>
                <w:sz w:val="20"/>
                <w:szCs w:val="20"/>
                <w:lang w:eastAsia="ru-RU"/>
              </w:rPr>
            </w:pPr>
            <w:r w:rsidRPr="00C8391B">
              <w:rPr>
                <w:rFonts w:ascii="Times New Roman" w:eastAsia="Times New Roman" w:hAnsi="Times New Roman" w:cs="Times New Roman"/>
                <w:sz w:val="20"/>
                <w:szCs w:val="20"/>
                <w:lang w:eastAsia="ru-RU"/>
              </w:rPr>
              <w:t>Количество организаций, которым была оказана консультационная помощь по вопросам заключения и проведения внешнеэкономических сделок, ежегодно, (единиц)</w:t>
            </w:r>
          </w:p>
        </w:tc>
        <w:tc>
          <w:tcPr>
            <w:tcW w:w="1843" w:type="dxa"/>
          </w:tcPr>
          <w:p w:rsidR="002C50AB" w:rsidRPr="00C8391B" w:rsidRDefault="002C50AB" w:rsidP="002C50AB">
            <w:pPr>
              <w:jc w:val="center"/>
              <w:rPr>
                <w:rFonts w:ascii="Times New Roman" w:eastAsia="Times New Roman" w:hAnsi="Times New Roman" w:cs="Times New Roman"/>
                <w:sz w:val="20"/>
                <w:szCs w:val="20"/>
                <w:lang w:eastAsia="ru-RU"/>
              </w:rPr>
            </w:pPr>
            <w:r w:rsidRPr="00C8391B">
              <w:rPr>
                <w:rFonts w:ascii="Times New Roman" w:eastAsia="Times New Roman" w:hAnsi="Times New Roman" w:cs="Times New Roman"/>
                <w:sz w:val="20"/>
                <w:szCs w:val="20"/>
                <w:lang w:eastAsia="ru-RU"/>
              </w:rPr>
              <w:t>30,0</w:t>
            </w:r>
          </w:p>
        </w:tc>
        <w:tc>
          <w:tcPr>
            <w:tcW w:w="1701" w:type="dxa"/>
          </w:tcPr>
          <w:p w:rsidR="002C50AB" w:rsidRPr="00C8391B" w:rsidRDefault="002C50AB" w:rsidP="002C50AB">
            <w:pPr>
              <w:jc w:val="center"/>
              <w:rPr>
                <w:rFonts w:ascii="Times New Roman" w:eastAsia="Times New Roman" w:hAnsi="Times New Roman" w:cs="Times New Roman"/>
                <w:sz w:val="20"/>
                <w:szCs w:val="20"/>
                <w:lang w:eastAsia="ru-RU"/>
              </w:rPr>
            </w:pPr>
            <w:r w:rsidRPr="00C8391B">
              <w:rPr>
                <w:rFonts w:ascii="Times New Roman" w:eastAsia="Times New Roman" w:hAnsi="Times New Roman" w:cs="Times New Roman"/>
                <w:sz w:val="20"/>
                <w:szCs w:val="20"/>
                <w:lang w:eastAsia="ru-RU"/>
              </w:rPr>
              <w:t>45,0</w:t>
            </w:r>
          </w:p>
        </w:tc>
        <w:tc>
          <w:tcPr>
            <w:tcW w:w="815" w:type="dxa"/>
          </w:tcPr>
          <w:p w:rsidR="002C50AB" w:rsidRPr="00C8391B" w:rsidRDefault="002C50AB" w:rsidP="002C50AB">
            <w:pPr>
              <w:jc w:val="center"/>
              <w:rPr>
                <w:rFonts w:ascii="Times New Roman" w:eastAsia="Times New Roman" w:hAnsi="Times New Roman" w:cs="Times New Roman"/>
                <w:sz w:val="20"/>
                <w:szCs w:val="20"/>
                <w:lang w:eastAsia="ru-RU"/>
              </w:rPr>
            </w:pPr>
            <w:r w:rsidRPr="00C8391B">
              <w:rPr>
                <w:rFonts w:ascii="Times New Roman" w:eastAsia="Times New Roman" w:hAnsi="Times New Roman" w:cs="Times New Roman"/>
                <w:sz w:val="20"/>
                <w:szCs w:val="20"/>
                <w:lang w:eastAsia="ru-RU"/>
              </w:rPr>
              <w:t>150,0</w:t>
            </w:r>
          </w:p>
        </w:tc>
      </w:tr>
      <w:tr w:rsidR="002C50AB" w:rsidTr="00F83FBF">
        <w:tc>
          <w:tcPr>
            <w:tcW w:w="709" w:type="dxa"/>
          </w:tcPr>
          <w:p w:rsidR="002C50AB" w:rsidRPr="00C8391B" w:rsidRDefault="00D47736" w:rsidP="002C50AB">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16</w:t>
            </w:r>
          </w:p>
        </w:tc>
        <w:tc>
          <w:tcPr>
            <w:tcW w:w="4678" w:type="dxa"/>
          </w:tcPr>
          <w:p w:rsidR="002C50AB" w:rsidRPr="00C8391B" w:rsidRDefault="002C50AB" w:rsidP="002C50AB">
            <w:pPr>
              <w:rPr>
                <w:rFonts w:ascii="Times New Roman" w:eastAsia="Times New Roman" w:hAnsi="Times New Roman" w:cs="Times New Roman"/>
                <w:sz w:val="20"/>
                <w:szCs w:val="20"/>
                <w:lang w:eastAsia="ru-RU"/>
              </w:rPr>
            </w:pPr>
            <w:r w:rsidRPr="00C8391B">
              <w:rPr>
                <w:rFonts w:ascii="Times New Roman" w:eastAsia="Times New Roman" w:hAnsi="Times New Roman" w:cs="Times New Roman"/>
                <w:sz w:val="20"/>
                <w:szCs w:val="20"/>
                <w:lang w:eastAsia="ru-RU"/>
              </w:rPr>
              <w:t>Удельный вес организаций, осуществляющих технологические инновации, в общем количестве обследованных организаций, (в %)  &lt;1&gt;</w:t>
            </w:r>
          </w:p>
        </w:tc>
        <w:tc>
          <w:tcPr>
            <w:tcW w:w="1843" w:type="dxa"/>
          </w:tcPr>
          <w:p w:rsidR="002C50AB" w:rsidRPr="00C8391B" w:rsidRDefault="002C50AB" w:rsidP="002C50AB">
            <w:pPr>
              <w:jc w:val="center"/>
              <w:rPr>
                <w:rFonts w:ascii="Times New Roman" w:eastAsia="Times New Roman" w:hAnsi="Times New Roman" w:cs="Times New Roman"/>
                <w:sz w:val="20"/>
                <w:szCs w:val="20"/>
                <w:lang w:eastAsia="ru-RU"/>
              </w:rPr>
            </w:pPr>
            <w:r w:rsidRPr="00C8391B">
              <w:rPr>
                <w:rFonts w:ascii="Times New Roman" w:eastAsia="Times New Roman" w:hAnsi="Times New Roman" w:cs="Times New Roman"/>
                <w:sz w:val="20"/>
                <w:szCs w:val="20"/>
                <w:lang w:eastAsia="ru-RU"/>
              </w:rPr>
              <w:t>9,1</w:t>
            </w:r>
          </w:p>
        </w:tc>
        <w:tc>
          <w:tcPr>
            <w:tcW w:w="1701" w:type="dxa"/>
          </w:tcPr>
          <w:p w:rsidR="002C50AB" w:rsidRPr="00C8391B" w:rsidRDefault="002C50AB" w:rsidP="002C50AB">
            <w:pPr>
              <w:jc w:val="center"/>
              <w:rPr>
                <w:rFonts w:ascii="Times New Roman" w:eastAsia="Times New Roman" w:hAnsi="Times New Roman" w:cs="Times New Roman"/>
                <w:sz w:val="20"/>
                <w:szCs w:val="20"/>
                <w:lang w:eastAsia="ru-RU"/>
              </w:rPr>
            </w:pPr>
            <w:r w:rsidRPr="00C8391B">
              <w:rPr>
                <w:rFonts w:ascii="Times New Roman" w:eastAsia="Times New Roman" w:hAnsi="Times New Roman" w:cs="Times New Roman"/>
                <w:sz w:val="20"/>
                <w:szCs w:val="20"/>
                <w:lang w:eastAsia="ru-RU"/>
              </w:rPr>
              <w:t>3,6</w:t>
            </w:r>
          </w:p>
        </w:tc>
        <w:tc>
          <w:tcPr>
            <w:tcW w:w="815" w:type="dxa"/>
          </w:tcPr>
          <w:p w:rsidR="002C50AB" w:rsidRPr="00C8391B" w:rsidRDefault="002C50AB" w:rsidP="002C50AB">
            <w:pPr>
              <w:jc w:val="center"/>
              <w:rPr>
                <w:rFonts w:ascii="Times New Roman" w:eastAsia="Times New Roman" w:hAnsi="Times New Roman" w:cs="Times New Roman"/>
                <w:sz w:val="20"/>
                <w:szCs w:val="20"/>
                <w:lang w:eastAsia="ru-RU"/>
              </w:rPr>
            </w:pPr>
            <w:r w:rsidRPr="00C8391B">
              <w:rPr>
                <w:rFonts w:ascii="Times New Roman" w:eastAsia="Times New Roman" w:hAnsi="Times New Roman" w:cs="Times New Roman"/>
                <w:sz w:val="20"/>
                <w:szCs w:val="20"/>
                <w:lang w:eastAsia="ru-RU"/>
              </w:rPr>
              <w:t>39,6</w:t>
            </w:r>
          </w:p>
        </w:tc>
      </w:tr>
      <w:tr w:rsidR="002C50AB" w:rsidTr="00F83FBF">
        <w:tc>
          <w:tcPr>
            <w:tcW w:w="709" w:type="dxa"/>
          </w:tcPr>
          <w:p w:rsidR="002C50AB" w:rsidRPr="00C8391B" w:rsidRDefault="00D47736" w:rsidP="002C50AB">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17</w:t>
            </w:r>
          </w:p>
        </w:tc>
        <w:tc>
          <w:tcPr>
            <w:tcW w:w="4678" w:type="dxa"/>
          </w:tcPr>
          <w:p w:rsidR="002C50AB" w:rsidRPr="00C8391B" w:rsidRDefault="002C50AB" w:rsidP="002C50AB">
            <w:pPr>
              <w:rPr>
                <w:rFonts w:ascii="Times New Roman" w:eastAsia="Times New Roman" w:hAnsi="Times New Roman" w:cs="Times New Roman"/>
                <w:sz w:val="20"/>
                <w:szCs w:val="20"/>
                <w:lang w:eastAsia="ru-RU"/>
              </w:rPr>
            </w:pPr>
            <w:r w:rsidRPr="00C8391B">
              <w:rPr>
                <w:rFonts w:ascii="Times New Roman" w:eastAsia="Times New Roman" w:hAnsi="Times New Roman" w:cs="Times New Roman"/>
                <w:sz w:val="20"/>
                <w:szCs w:val="20"/>
                <w:lang w:eastAsia="ru-RU"/>
              </w:rPr>
              <w:t xml:space="preserve"> Прирост инвестиций в основной капитал (без учета бюджетных средств), (в % к предыдущему периоду)  &lt;1&gt;</w:t>
            </w:r>
          </w:p>
        </w:tc>
        <w:tc>
          <w:tcPr>
            <w:tcW w:w="1843" w:type="dxa"/>
          </w:tcPr>
          <w:p w:rsidR="002C50AB" w:rsidRPr="00C8391B" w:rsidRDefault="002C50AB" w:rsidP="002C50AB">
            <w:pPr>
              <w:jc w:val="center"/>
              <w:rPr>
                <w:rFonts w:ascii="Times New Roman" w:eastAsia="Times New Roman" w:hAnsi="Times New Roman" w:cs="Times New Roman"/>
                <w:sz w:val="20"/>
                <w:szCs w:val="20"/>
                <w:lang w:eastAsia="ru-RU"/>
              </w:rPr>
            </w:pPr>
            <w:r w:rsidRPr="00C8391B">
              <w:rPr>
                <w:rFonts w:ascii="Times New Roman" w:eastAsia="Times New Roman" w:hAnsi="Times New Roman" w:cs="Times New Roman"/>
                <w:sz w:val="20"/>
                <w:szCs w:val="20"/>
                <w:lang w:eastAsia="ru-RU"/>
              </w:rPr>
              <w:t>9,0</w:t>
            </w:r>
          </w:p>
        </w:tc>
        <w:tc>
          <w:tcPr>
            <w:tcW w:w="1701" w:type="dxa"/>
          </w:tcPr>
          <w:p w:rsidR="002C50AB" w:rsidRPr="00C8391B" w:rsidRDefault="002C50AB" w:rsidP="002C50AB">
            <w:pPr>
              <w:jc w:val="center"/>
              <w:rPr>
                <w:rFonts w:ascii="Times New Roman" w:eastAsia="Times New Roman" w:hAnsi="Times New Roman" w:cs="Times New Roman"/>
                <w:sz w:val="20"/>
                <w:szCs w:val="20"/>
                <w:lang w:eastAsia="ru-RU"/>
              </w:rPr>
            </w:pPr>
            <w:r w:rsidRPr="00C8391B">
              <w:rPr>
                <w:rFonts w:ascii="Times New Roman" w:eastAsia="Times New Roman" w:hAnsi="Times New Roman" w:cs="Times New Roman"/>
                <w:sz w:val="20"/>
                <w:szCs w:val="20"/>
                <w:lang w:eastAsia="ru-RU"/>
              </w:rPr>
              <w:t>10,4</w:t>
            </w:r>
          </w:p>
        </w:tc>
        <w:tc>
          <w:tcPr>
            <w:tcW w:w="815" w:type="dxa"/>
          </w:tcPr>
          <w:p w:rsidR="002C50AB" w:rsidRPr="00C8391B" w:rsidRDefault="002C50AB" w:rsidP="002C50AB">
            <w:pPr>
              <w:jc w:val="center"/>
              <w:rPr>
                <w:rFonts w:ascii="Times New Roman" w:eastAsia="Times New Roman" w:hAnsi="Times New Roman" w:cs="Times New Roman"/>
                <w:sz w:val="20"/>
                <w:szCs w:val="20"/>
                <w:lang w:eastAsia="ru-RU"/>
              </w:rPr>
            </w:pPr>
            <w:r w:rsidRPr="00C8391B">
              <w:rPr>
                <w:rFonts w:ascii="Times New Roman" w:eastAsia="Times New Roman" w:hAnsi="Times New Roman" w:cs="Times New Roman"/>
                <w:sz w:val="20"/>
                <w:szCs w:val="20"/>
                <w:lang w:eastAsia="ru-RU"/>
              </w:rPr>
              <w:t>115,6</w:t>
            </w:r>
          </w:p>
        </w:tc>
      </w:tr>
      <w:tr w:rsidR="002C50AB" w:rsidTr="00F83FBF">
        <w:tc>
          <w:tcPr>
            <w:tcW w:w="709" w:type="dxa"/>
          </w:tcPr>
          <w:p w:rsidR="002C50AB" w:rsidRPr="00C8391B" w:rsidRDefault="00D47736" w:rsidP="002C50AB">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18</w:t>
            </w:r>
          </w:p>
        </w:tc>
        <w:tc>
          <w:tcPr>
            <w:tcW w:w="4678" w:type="dxa"/>
          </w:tcPr>
          <w:p w:rsidR="002C50AB" w:rsidRPr="00C8391B" w:rsidRDefault="002C50AB" w:rsidP="002C50AB">
            <w:pPr>
              <w:rPr>
                <w:rFonts w:ascii="Times New Roman" w:eastAsia="Times New Roman" w:hAnsi="Times New Roman" w:cs="Times New Roman"/>
                <w:sz w:val="20"/>
                <w:szCs w:val="20"/>
                <w:lang w:eastAsia="ru-RU"/>
              </w:rPr>
            </w:pPr>
            <w:r w:rsidRPr="00C8391B">
              <w:rPr>
                <w:rFonts w:ascii="Times New Roman" w:eastAsia="Times New Roman" w:hAnsi="Times New Roman" w:cs="Times New Roman"/>
                <w:sz w:val="20"/>
                <w:szCs w:val="20"/>
                <w:lang w:eastAsia="ru-RU"/>
              </w:rPr>
              <w:t>Обеспеченность населения торговой площадью, (м</w:t>
            </w:r>
            <w:proofErr w:type="gramStart"/>
            <w:r w:rsidRPr="00C8391B">
              <w:rPr>
                <w:rFonts w:ascii="Times New Roman" w:eastAsia="Times New Roman" w:hAnsi="Times New Roman" w:cs="Times New Roman"/>
                <w:sz w:val="20"/>
                <w:szCs w:val="20"/>
                <w:lang w:eastAsia="ru-RU"/>
              </w:rPr>
              <w:t>2</w:t>
            </w:r>
            <w:proofErr w:type="gramEnd"/>
            <w:r w:rsidRPr="00C8391B">
              <w:rPr>
                <w:rFonts w:ascii="Times New Roman" w:eastAsia="Times New Roman" w:hAnsi="Times New Roman" w:cs="Times New Roman"/>
                <w:sz w:val="20"/>
                <w:szCs w:val="20"/>
                <w:lang w:eastAsia="ru-RU"/>
              </w:rPr>
              <w:t xml:space="preserve"> на 1 000 жителей)</w:t>
            </w:r>
          </w:p>
        </w:tc>
        <w:tc>
          <w:tcPr>
            <w:tcW w:w="1843" w:type="dxa"/>
          </w:tcPr>
          <w:p w:rsidR="002C50AB" w:rsidRPr="00C8391B" w:rsidRDefault="002C50AB" w:rsidP="002C50AB">
            <w:pPr>
              <w:jc w:val="center"/>
              <w:rPr>
                <w:rFonts w:ascii="Times New Roman" w:eastAsia="Times New Roman" w:hAnsi="Times New Roman" w:cs="Times New Roman"/>
                <w:sz w:val="20"/>
                <w:szCs w:val="20"/>
                <w:lang w:eastAsia="ru-RU"/>
              </w:rPr>
            </w:pPr>
            <w:r w:rsidRPr="00C8391B">
              <w:rPr>
                <w:rFonts w:ascii="Times New Roman" w:eastAsia="Times New Roman" w:hAnsi="Times New Roman" w:cs="Times New Roman"/>
                <w:sz w:val="20"/>
                <w:szCs w:val="20"/>
                <w:lang w:eastAsia="ru-RU"/>
              </w:rPr>
              <w:t>900,0</w:t>
            </w:r>
          </w:p>
        </w:tc>
        <w:tc>
          <w:tcPr>
            <w:tcW w:w="1701" w:type="dxa"/>
          </w:tcPr>
          <w:p w:rsidR="002C50AB" w:rsidRPr="00C8391B" w:rsidRDefault="002C50AB" w:rsidP="002C50AB">
            <w:pPr>
              <w:jc w:val="center"/>
              <w:rPr>
                <w:rFonts w:ascii="Times New Roman" w:eastAsia="Times New Roman" w:hAnsi="Times New Roman" w:cs="Times New Roman"/>
                <w:sz w:val="20"/>
                <w:szCs w:val="20"/>
                <w:lang w:eastAsia="ru-RU"/>
              </w:rPr>
            </w:pPr>
            <w:r w:rsidRPr="00C8391B">
              <w:rPr>
                <w:rFonts w:ascii="Times New Roman" w:eastAsia="Times New Roman" w:hAnsi="Times New Roman" w:cs="Times New Roman"/>
                <w:sz w:val="20"/>
                <w:szCs w:val="20"/>
                <w:lang w:eastAsia="ru-RU"/>
              </w:rPr>
              <w:t>1009,0</w:t>
            </w:r>
          </w:p>
        </w:tc>
        <w:tc>
          <w:tcPr>
            <w:tcW w:w="815" w:type="dxa"/>
          </w:tcPr>
          <w:p w:rsidR="002C50AB" w:rsidRPr="00C8391B" w:rsidRDefault="002C50AB" w:rsidP="002C50AB">
            <w:pPr>
              <w:jc w:val="center"/>
              <w:rPr>
                <w:rFonts w:ascii="Times New Roman" w:eastAsia="Times New Roman" w:hAnsi="Times New Roman" w:cs="Times New Roman"/>
                <w:sz w:val="20"/>
                <w:szCs w:val="20"/>
                <w:lang w:eastAsia="ru-RU"/>
              </w:rPr>
            </w:pPr>
            <w:r w:rsidRPr="00C8391B">
              <w:rPr>
                <w:rFonts w:ascii="Times New Roman" w:eastAsia="Times New Roman" w:hAnsi="Times New Roman" w:cs="Times New Roman"/>
                <w:sz w:val="20"/>
                <w:szCs w:val="20"/>
                <w:lang w:eastAsia="ru-RU"/>
              </w:rPr>
              <w:t>112,1</w:t>
            </w:r>
          </w:p>
        </w:tc>
      </w:tr>
      <w:tr w:rsidR="002C50AB" w:rsidTr="00F83FBF">
        <w:tc>
          <w:tcPr>
            <w:tcW w:w="709" w:type="dxa"/>
          </w:tcPr>
          <w:p w:rsidR="002C50AB" w:rsidRPr="00C8391B" w:rsidRDefault="00D47736" w:rsidP="002C50AB">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19</w:t>
            </w:r>
          </w:p>
        </w:tc>
        <w:tc>
          <w:tcPr>
            <w:tcW w:w="4678" w:type="dxa"/>
          </w:tcPr>
          <w:p w:rsidR="00DC286C" w:rsidRPr="00C8391B" w:rsidRDefault="002C50AB" w:rsidP="008F7693">
            <w:pPr>
              <w:rPr>
                <w:rFonts w:ascii="Times New Roman" w:eastAsia="Times New Roman" w:hAnsi="Times New Roman" w:cs="Times New Roman"/>
                <w:sz w:val="20"/>
                <w:szCs w:val="20"/>
                <w:lang w:eastAsia="ru-RU"/>
              </w:rPr>
            </w:pPr>
            <w:r w:rsidRPr="00C8391B">
              <w:rPr>
                <w:rFonts w:ascii="Times New Roman" w:eastAsia="Times New Roman" w:hAnsi="Times New Roman" w:cs="Times New Roman"/>
                <w:sz w:val="20"/>
                <w:szCs w:val="20"/>
                <w:lang w:eastAsia="ru-RU"/>
              </w:rPr>
              <w:t>Прирост количества субъектов малого и среднего предпринимательства (</w:t>
            </w:r>
            <w:proofErr w:type="gramStart"/>
            <w:r w:rsidRPr="00C8391B">
              <w:rPr>
                <w:rFonts w:ascii="Times New Roman" w:eastAsia="Times New Roman" w:hAnsi="Times New Roman" w:cs="Times New Roman"/>
                <w:sz w:val="20"/>
                <w:szCs w:val="20"/>
                <w:lang w:eastAsia="ru-RU"/>
              </w:rPr>
              <w:t>в</w:t>
            </w:r>
            <w:proofErr w:type="gramEnd"/>
            <w:r w:rsidRPr="00C8391B">
              <w:rPr>
                <w:rFonts w:ascii="Times New Roman" w:eastAsia="Times New Roman" w:hAnsi="Times New Roman" w:cs="Times New Roman"/>
                <w:sz w:val="20"/>
                <w:szCs w:val="20"/>
                <w:lang w:eastAsia="ru-RU"/>
              </w:rPr>
              <w:t xml:space="preserve"> % </w:t>
            </w:r>
            <w:proofErr w:type="gramStart"/>
            <w:r w:rsidRPr="00C8391B">
              <w:rPr>
                <w:rFonts w:ascii="Times New Roman" w:eastAsia="Times New Roman" w:hAnsi="Times New Roman" w:cs="Times New Roman"/>
                <w:sz w:val="20"/>
                <w:szCs w:val="20"/>
                <w:lang w:eastAsia="ru-RU"/>
              </w:rPr>
              <w:t>к</w:t>
            </w:r>
            <w:proofErr w:type="gramEnd"/>
            <w:r w:rsidRPr="00C8391B">
              <w:rPr>
                <w:rFonts w:ascii="Times New Roman" w:eastAsia="Times New Roman" w:hAnsi="Times New Roman" w:cs="Times New Roman"/>
                <w:sz w:val="20"/>
                <w:szCs w:val="20"/>
                <w:lang w:eastAsia="ru-RU"/>
              </w:rPr>
              <w:t xml:space="preserve"> предыдущему году) &lt;1&gt;</w:t>
            </w:r>
          </w:p>
        </w:tc>
        <w:tc>
          <w:tcPr>
            <w:tcW w:w="1843" w:type="dxa"/>
          </w:tcPr>
          <w:p w:rsidR="002C50AB" w:rsidRPr="00C8391B" w:rsidRDefault="002C50AB" w:rsidP="002C50AB">
            <w:pPr>
              <w:jc w:val="center"/>
              <w:rPr>
                <w:rFonts w:ascii="Times New Roman" w:eastAsia="Times New Roman" w:hAnsi="Times New Roman" w:cs="Times New Roman"/>
                <w:sz w:val="20"/>
                <w:szCs w:val="20"/>
                <w:lang w:eastAsia="ru-RU"/>
              </w:rPr>
            </w:pPr>
            <w:r w:rsidRPr="00C8391B">
              <w:rPr>
                <w:rFonts w:ascii="Times New Roman" w:eastAsia="Times New Roman" w:hAnsi="Times New Roman" w:cs="Times New Roman"/>
                <w:sz w:val="20"/>
                <w:szCs w:val="20"/>
                <w:lang w:eastAsia="ru-RU"/>
              </w:rPr>
              <w:t>7,3</w:t>
            </w:r>
          </w:p>
        </w:tc>
        <w:tc>
          <w:tcPr>
            <w:tcW w:w="1701" w:type="dxa"/>
          </w:tcPr>
          <w:p w:rsidR="002C50AB" w:rsidRPr="00C8391B" w:rsidRDefault="002C50AB" w:rsidP="002C50AB">
            <w:pPr>
              <w:jc w:val="center"/>
              <w:rPr>
                <w:rFonts w:ascii="Times New Roman" w:eastAsia="Times New Roman" w:hAnsi="Times New Roman" w:cs="Times New Roman"/>
                <w:sz w:val="20"/>
                <w:szCs w:val="20"/>
                <w:lang w:eastAsia="ru-RU"/>
              </w:rPr>
            </w:pPr>
            <w:r w:rsidRPr="00C8391B">
              <w:rPr>
                <w:rFonts w:ascii="Times New Roman" w:eastAsia="Times New Roman" w:hAnsi="Times New Roman" w:cs="Times New Roman"/>
                <w:sz w:val="20"/>
                <w:szCs w:val="20"/>
                <w:lang w:eastAsia="ru-RU"/>
              </w:rPr>
              <w:t>1,7</w:t>
            </w:r>
          </w:p>
        </w:tc>
        <w:tc>
          <w:tcPr>
            <w:tcW w:w="815" w:type="dxa"/>
          </w:tcPr>
          <w:p w:rsidR="002C50AB" w:rsidRPr="00C8391B" w:rsidRDefault="002C50AB" w:rsidP="002C50AB">
            <w:pPr>
              <w:jc w:val="center"/>
              <w:rPr>
                <w:rFonts w:ascii="Times New Roman" w:eastAsia="Times New Roman" w:hAnsi="Times New Roman" w:cs="Times New Roman"/>
                <w:sz w:val="20"/>
                <w:szCs w:val="20"/>
                <w:lang w:eastAsia="ru-RU"/>
              </w:rPr>
            </w:pPr>
            <w:r w:rsidRPr="00C8391B">
              <w:rPr>
                <w:rFonts w:ascii="Times New Roman" w:eastAsia="Times New Roman" w:hAnsi="Times New Roman" w:cs="Times New Roman"/>
                <w:sz w:val="20"/>
                <w:szCs w:val="20"/>
                <w:lang w:eastAsia="ru-RU"/>
              </w:rPr>
              <w:t>23,3</w:t>
            </w:r>
          </w:p>
        </w:tc>
      </w:tr>
      <w:tr w:rsidR="002C50AB" w:rsidTr="00F83FBF">
        <w:tc>
          <w:tcPr>
            <w:tcW w:w="709" w:type="dxa"/>
          </w:tcPr>
          <w:p w:rsidR="002C50AB" w:rsidRPr="00C8391B" w:rsidRDefault="00D47736" w:rsidP="002C50AB">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20</w:t>
            </w:r>
          </w:p>
        </w:tc>
        <w:tc>
          <w:tcPr>
            <w:tcW w:w="4678" w:type="dxa"/>
          </w:tcPr>
          <w:p w:rsidR="002C50AB" w:rsidRPr="00C8391B" w:rsidRDefault="002C50AB" w:rsidP="002C50AB">
            <w:pPr>
              <w:rPr>
                <w:rFonts w:ascii="Times New Roman" w:eastAsia="Times New Roman" w:hAnsi="Times New Roman" w:cs="Times New Roman"/>
                <w:sz w:val="20"/>
                <w:szCs w:val="20"/>
                <w:lang w:eastAsia="ru-RU"/>
              </w:rPr>
            </w:pPr>
            <w:r w:rsidRPr="00C8391B">
              <w:rPr>
                <w:rFonts w:ascii="Times New Roman" w:eastAsia="Times New Roman" w:hAnsi="Times New Roman" w:cs="Times New Roman"/>
                <w:sz w:val="20"/>
                <w:szCs w:val="20"/>
                <w:lang w:eastAsia="ru-RU"/>
              </w:rPr>
              <w:t xml:space="preserve">Прирост оборота продукции и услуг, производимых малыми предприятиями, в том числе </w:t>
            </w:r>
            <w:proofErr w:type="spellStart"/>
            <w:r w:rsidRPr="00C8391B">
              <w:rPr>
                <w:rFonts w:ascii="Times New Roman" w:eastAsia="Times New Roman" w:hAnsi="Times New Roman" w:cs="Times New Roman"/>
                <w:sz w:val="20"/>
                <w:szCs w:val="20"/>
                <w:lang w:eastAsia="ru-RU"/>
              </w:rPr>
              <w:t>микропредприятиями</w:t>
            </w:r>
            <w:proofErr w:type="spellEnd"/>
            <w:r w:rsidRPr="00C8391B">
              <w:rPr>
                <w:rFonts w:ascii="Times New Roman" w:eastAsia="Times New Roman" w:hAnsi="Times New Roman" w:cs="Times New Roman"/>
                <w:sz w:val="20"/>
                <w:szCs w:val="20"/>
                <w:lang w:eastAsia="ru-RU"/>
              </w:rPr>
              <w:t>, индивидуальными предпринимателями  (в % к предыдущему году в ценах соответствующих лет)  &lt;1&gt;</w:t>
            </w:r>
          </w:p>
        </w:tc>
        <w:tc>
          <w:tcPr>
            <w:tcW w:w="1843" w:type="dxa"/>
          </w:tcPr>
          <w:p w:rsidR="002C50AB" w:rsidRPr="00C8391B" w:rsidRDefault="002C50AB" w:rsidP="002C50AB">
            <w:pPr>
              <w:jc w:val="center"/>
              <w:rPr>
                <w:rFonts w:ascii="Times New Roman" w:eastAsia="Times New Roman" w:hAnsi="Times New Roman" w:cs="Times New Roman"/>
                <w:sz w:val="20"/>
                <w:szCs w:val="20"/>
                <w:lang w:eastAsia="ru-RU"/>
              </w:rPr>
            </w:pPr>
            <w:r w:rsidRPr="00C8391B">
              <w:rPr>
                <w:rFonts w:ascii="Times New Roman" w:eastAsia="Times New Roman" w:hAnsi="Times New Roman" w:cs="Times New Roman"/>
                <w:sz w:val="20"/>
                <w:szCs w:val="20"/>
                <w:lang w:eastAsia="ru-RU"/>
              </w:rPr>
              <w:t>7,3</w:t>
            </w:r>
          </w:p>
        </w:tc>
        <w:tc>
          <w:tcPr>
            <w:tcW w:w="1701" w:type="dxa"/>
          </w:tcPr>
          <w:p w:rsidR="002C50AB" w:rsidRPr="00C8391B" w:rsidRDefault="002C50AB" w:rsidP="002C50AB">
            <w:pPr>
              <w:jc w:val="center"/>
              <w:rPr>
                <w:rFonts w:ascii="Times New Roman" w:eastAsia="Times New Roman" w:hAnsi="Times New Roman" w:cs="Times New Roman"/>
                <w:sz w:val="20"/>
                <w:szCs w:val="20"/>
                <w:lang w:eastAsia="ru-RU"/>
              </w:rPr>
            </w:pPr>
            <w:r w:rsidRPr="00C8391B">
              <w:rPr>
                <w:rFonts w:ascii="Times New Roman" w:eastAsia="Times New Roman" w:hAnsi="Times New Roman" w:cs="Times New Roman"/>
                <w:sz w:val="20"/>
                <w:szCs w:val="20"/>
                <w:lang w:eastAsia="ru-RU"/>
              </w:rPr>
              <w:t>-8,7</w:t>
            </w:r>
          </w:p>
        </w:tc>
        <w:tc>
          <w:tcPr>
            <w:tcW w:w="815" w:type="dxa"/>
          </w:tcPr>
          <w:p w:rsidR="002C50AB" w:rsidRPr="00C8391B" w:rsidRDefault="002C50AB" w:rsidP="002C50AB">
            <w:pPr>
              <w:jc w:val="center"/>
              <w:rPr>
                <w:rFonts w:ascii="Times New Roman" w:eastAsia="Times New Roman" w:hAnsi="Times New Roman" w:cs="Times New Roman"/>
                <w:sz w:val="20"/>
                <w:szCs w:val="20"/>
                <w:lang w:eastAsia="ru-RU"/>
              </w:rPr>
            </w:pPr>
            <w:r w:rsidRPr="00C8391B">
              <w:rPr>
                <w:rFonts w:ascii="Times New Roman" w:eastAsia="Times New Roman" w:hAnsi="Times New Roman" w:cs="Times New Roman"/>
                <w:sz w:val="20"/>
                <w:szCs w:val="20"/>
                <w:lang w:eastAsia="ru-RU"/>
              </w:rPr>
              <w:t>0,0</w:t>
            </w:r>
          </w:p>
        </w:tc>
      </w:tr>
      <w:tr w:rsidR="002C50AB" w:rsidTr="00F83FBF">
        <w:tc>
          <w:tcPr>
            <w:tcW w:w="709" w:type="dxa"/>
          </w:tcPr>
          <w:p w:rsidR="002C50AB" w:rsidRPr="00C8391B" w:rsidRDefault="00D47736" w:rsidP="002C50AB">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21</w:t>
            </w:r>
          </w:p>
        </w:tc>
        <w:tc>
          <w:tcPr>
            <w:tcW w:w="4678" w:type="dxa"/>
          </w:tcPr>
          <w:p w:rsidR="002C50AB" w:rsidRPr="00C8391B" w:rsidRDefault="002C50AB" w:rsidP="002C50AB">
            <w:pPr>
              <w:rPr>
                <w:rFonts w:ascii="Times New Roman" w:eastAsia="Times New Roman" w:hAnsi="Times New Roman" w:cs="Times New Roman"/>
                <w:sz w:val="20"/>
                <w:szCs w:val="20"/>
                <w:lang w:eastAsia="ru-RU"/>
              </w:rPr>
            </w:pPr>
            <w:r w:rsidRPr="00C8391B">
              <w:rPr>
                <w:rFonts w:ascii="Times New Roman" w:eastAsia="Times New Roman" w:hAnsi="Times New Roman" w:cs="Times New Roman"/>
                <w:sz w:val="20"/>
                <w:szCs w:val="20"/>
                <w:lang w:eastAsia="ru-RU"/>
              </w:rPr>
              <w:t>Количество малых и средних предприятий на 10 тыс. населения автономного округа, (единиц)  &lt;6&gt;</w:t>
            </w:r>
          </w:p>
        </w:tc>
        <w:tc>
          <w:tcPr>
            <w:tcW w:w="1843" w:type="dxa"/>
          </w:tcPr>
          <w:p w:rsidR="002C50AB" w:rsidRPr="00C8391B" w:rsidRDefault="002C50AB" w:rsidP="002C50AB">
            <w:pPr>
              <w:jc w:val="center"/>
              <w:rPr>
                <w:rFonts w:ascii="Times New Roman" w:eastAsia="Times New Roman" w:hAnsi="Times New Roman" w:cs="Times New Roman"/>
                <w:sz w:val="20"/>
                <w:szCs w:val="20"/>
                <w:lang w:eastAsia="ru-RU"/>
              </w:rPr>
            </w:pPr>
            <w:r w:rsidRPr="00C8391B">
              <w:rPr>
                <w:rFonts w:ascii="Times New Roman" w:eastAsia="Times New Roman" w:hAnsi="Times New Roman" w:cs="Times New Roman"/>
                <w:sz w:val="20"/>
                <w:szCs w:val="20"/>
                <w:lang w:eastAsia="ru-RU"/>
              </w:rPr>
              <w:t>168,4</w:t>
            </w:r>
          </w:p>
        </w:tc>
        <w:tc>
          <w:tcPr>
            <w:tcW w:w="1701" w:type="dxa"/>
          </w:tcPr>
          <w:p w:rsidR="002C50AB" w:rsidRPr="00C8391B" w:rsidRDefault="002C50AB" w:rsidP="002C50AB">
            <w:pPr>
              <w:jc w:val="center"/>
              <w:rPr>
                <w:rFonts w:ascii="Times New Roman" w:eastAsia="Times New Roman" w:hAnsi="Times New Roman" w:cs="Times New Roman"/>
                <w:sz w:val="20"/>
                <w:szCs w:val="20"/>
                <w:lang w:eastAsia="ru-RU"/>
              </w:rPr>
            </w:pPr>
            <w:r w:rsidRPr="00C8391B">
              <w:rPr>
                <w:rFonts w:ascii="Times New Roman" w:eastAsia="Times New Roman" w:hAnsi="Times New Roman" w:cs="Times New Roman"/>
                <w:sz w:val="20"/>
                <w:szCs w:val="20"/>
                <w:lang w:eastAsia="ru-RU"/>
              </w:rPr>
              <w:t>145,2</w:t>
            </w:r>
          </w:p>
        </w:tc>
        <w:tc>
          <w:tcPr>
            <w:tcW w:w="815" w:type="dxa"/>
          </w:tcPr>
          <w:p w:rsidR="002C50AB" w:rsidRPr="00C8391B" w:rsidRDefault="002C50AB" w:rsidP="002C50AB">
            <w:pPr>
              <w:jc w:val="center"/>
              <w:rPr>
                <w:rFonts w:ascii="Times New Roman" w:eastAsia="Times New Roman" w:hAnsi="Times New Roman" w:cs="Times New Roman"/>
                <w:sz w:val="20"/>
                <w:szCs w:val="20"/>
                <w:lang w:eastAsia="ru-RU"/>
              </w:rPr>
            </w:pPr>
            <w:r w:rsidRPr="00C8391B">
              <w:rPr>
                <w:rFonts w:ascii="Times New Roman" w:eastAsia="Times New Roman" w:hAnsi="Times New Roman" w:cs="Times New Roman"/>
                <w:sz w:val="20"/>
                <w:szCs w:val="20"/>
                <w:lang w:eastAsia="ru-RU"/>
              </w:rPr>
              <w:t>86,2</w:t>
            </w:r>
          </w:p>
        </w:tc>
      </w:tr>
      <w:tr w:rsidR="002C50AB" w:rsidTr="00F83FBF">
        <w:tc>
          <w:tcPr>
            <w:tcW w:w="709" w:type="dxa"/>
          </w:tcPr>
          <w:p w:rsidR="002C50AB" w:rsidRPr="00C8391B" w:rsidRDefault="00D47736" w:rsidP="002C50AB">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22</w:t>
            </w:r>
          </w:p>
        </w:tc>
        <w:tc>
          <w:tcPr>
            <w:tcW w:w="4678" w:type="dxa"/>
          </w:tcPr>
          <w:p w:rsidR="002C50AB" w:rsidRPr="00C8391B" w:rsidRDefault="002C50AB" w:rsidP="002C50AB">
            <w:pPr>
              <w:rPr>
                <w:rFonts w:ascii="Times New Roman" w:eastAsia="Times New Roman" w:hAnsi="Times New Roman" w:cs="Times New Roman"/>
                <w:sz w:val="20"/>
                <w:szCs w:val="20"/>
                <w:lang w:eastAsia="ru-RU"/>
              </w:rPr>
            </w:pPr>
            <w:r w:rsidRPr="00C8391B">
              <w:rPr>
                <w:rFonts w:ascii="Times New Roman" w:eastAsia="Times New Roman" w:hAnsi="Times New Roman" w:cs="Times New Roman"/>
                <w:sz w:val="20"/>
                <w:szCs w:val="20"/>
                <w:lang w:eastAsia="ru-RU"/>
              </w:rPr>
              <w:t>Уровень удовлетворенности населения автономного округа качеством предоставления государственных и муниципальных услуг, (%)  &lt;2&gt;</w:t>
            </w:r>
          </w:p>
        </w:tc>
        <w:tc>
          <w:tcPr>
            <w:tcW w:w="1843" w:type="dxa"/>
          </w:tcPr>
          <w:p w:rsidR="002C50AB" w:rsidRPr="00C8391B" w:rsidRDefault="002C50AB" w:rsidP="002C50AB">
            <w:pPr>
              <w:jc w:val="center"/>
              <w:rPr>
                <w:rFonts w:ascii="Times New Roman" w:eastAsia="Times New Roman" w:hAnsi="Times New Roman" w:cs="Times New Roman"/>
                <w:sz w:val="20"/>
                <w:szCs w:val="20"/>
                <w:lang w:eastAsia="ru-RU"/>
              </w:rPr>
            </w:pPr>
            <w:r w:rsidRPr="00C8391B">
              <w:rPr>
                <w:rFonts w:ascii="Times New Roman" w:eastAsia="Times New Roman" w:hAnsi="Times New Roman" w:cs="Times New Roman"/>
                <w:sz w:val="20"/>
                <w:szCs w:val="20"/>
                <w:lang w:eastAsia="ru-RU"/>
              </w:rPr>
              <w:t>70,0</w:t>
            </w:r>
          </w:p>
        </w:tc>
        <w:tc>
          <w:tcPr>
            <w:tcW w:w="1701" w:type="dxa"/>
          </w:tcPr>
          <w:p w:rsidR="002C50AB" w:rsidRPr="00C8391B" w:rsidRDefault="002C50AB" w:rsidP="002C50AB">
            <w:pPr>
              <w:jc w:val="center"/>
              <w:rPr>
                <w:rFonts w:ascii="Times New Roman" w:eastAsia="Times New Roman" w:hAnsi="Times New Roman" w:cs="Times New Roman"/>
                <w:sz w:val="20"/>
                <w:szCs w:val="20"/>
                <w:lang w:eastAsia="ru-RU"/>
              </w:rPr>
            </w:pPr>
            <w:r w:rsidRPr="00C8391B">
              <w:rPr>
                <w:rFonts w:ascii="Times New Roman" w:eastAsia="Times New Roman" w:hAnsi="Times New Roman" w:cs="Times New Roman"/>
                <w:sz w:val="20"/>
                <w:szCs w:val="20"/>
                <w:lang w:eastAsia="ru-RU"/>
              </w:rPr>
              <w:t>85,9</w:t>
            </w:r>
          </w:p>
        </w:tc>
        <w:tc>
          <w:tcPr>
            <w:tcW w:w="815" w:type="dxa"/>
          </w:tcPr>
          <w:p w:rsidR="002C50AB" w:rsidRPr="00C8391B" w:rsidRDefault="002C50AB" w:rsidP="002C50AB">
            <w:pPr>
              <w:jc w:val="center"/>
              <w:rPr>
                <w:rFonts w:ascii="Times New Roman" w:eastAsia="Times New Roman" w:hAnsi="Times New Roman" w:cs="Times New Roman"/>
                <w:sz w:val="20"/>
                <w:szCs w:val="20"/>
                <w:lang w:eastAsia="ru-RU"/>
              </w:rPr>
            </w:pPr>
            <w:r w:rsidRPr="00C8391B">
              <w:rPr>
                <w:rFonts w:ascii="Times New Roman" w:eastAsia="Times New Roman" w:hAnsi="Times New Roman" w:cs="Times New Roman"/>
                <w:sz w:val="20"/>
                <w:szCs w:val="20"/>
                <w:lang w:eastAsia="ru-RU"/>
              </w:rPr>
              <w:t>122,7</w:t>
            </w:r>
          </w:p>
        </w:tc>
      </w:tr>
      <w:tr w:rsidR="002C50AB" w:rsidTr="00F83FBF">
        <w:tc>
          <w:tcPr>
            <w:tcW w:w="709" w:type="dxa"/>
          </w:tcPr>
          <w:p w:rsidR="002C50AB" w:rsidRPr="00C8391B" w:rsidRDefault="00D47736" w:rsidP="002C50AB">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23</w:t>
            </w:r>
          </w:p>
        </w:tc>
        <w:tc>
          <w:tcPr>
            <w:tcW w:w="4678" w:type="dxa"/>
          </w:tcPr>
          <w:p w:rsidR="002C50AB" w:rsidRPr="00C8391B" w:rsidRDefault="002C50AB" w:rsidP="002C50AB">
            <w:pPr>
              <w:rPr>
                <w:rFonts w:ascii="Times New Roman" w:eastAsia="Times New Roman" w:hAnsi="Times New Roman" w:cs="Times New Roman"/>
                <w:sz w:val="20"/>
                <w:szCs w:val="20"/>
                <w:lang w:eastAsia="ru-RU"/>
              </w:rPr>
            </w:pPr>
            <w:r w:rsidRPr="00C8391B">
              <w:rPr>
                <w:rFonts w:ascii="Times New Roman" w:eastAsia="Times New Roman" w:hAnsi="Times New Roman" w:cs="Times New Roman"/>
                <w:sz w:val="20"/>
                <w:szCs w:val="20"/>
                <w:lang w:eastAsia="ru-RU"/>
              </w:rPr>
              <w:t>Доля жителей автономного округа, имеющих доступ к получению государственных и муниципальных услуг по принципу «одного окна» по месту пребывания, в том числе в многофункциональных центрах предоставления государственных услуг, (%)  &lt;2&gt;</w:t>
            </w:r>
          </w:p>
        </w:tc>
        <w:tc>
          <w:tcPr>
            <w:tcW w:w="1843" w:type="dxa"/>
          </w:tcPr>
          <w:p w:rsidR="002C50AB" w:rsidRPr="00C8391B" w:rsidRDefault="002C50AB" w:rsidP="002C50AB">
            <w:pPr>
              <w:jc w:val="center"/>
              <w:rPr>
                <w:rFonts w:ascii="Times New Roman" w:eastAsia="Times New Roman" w:hAnsi="Times New Roman" w:cs="Times New Roman"/>
                <w:sz w:val="20"/>
                <w:szCs w:val="20"/>
                <w:lang w:eastAsia="ru-RU"/>
              </w:rPr>
            </w:pPr>
            <w:r w:rsidRPr="00C8391B">
              <w:rPr>
                <w:rFonts w:ascii="Times New Roman" w:eastAsia="Times New Roman" w:hAnsi="Times New Roman" w:cs="Times New Roman"/>
                <w:sz w:val="20"/>
                <w:szCs w:val="20"/>
                <w:lang w:eastAsia="ru-RU"/>
              </w:rPr>
              <w:t>90,0</w:t>
            </w:r>
          </w:p>
        </w:tc>
        <w:tc>
          <w:tcPr>
            <w:tcW w:w="1701" w:type="dxa"/>
          </w:tcPr>
          <w:p w:rsidR="002C50AB" w:rsidRPr="00C8391B" w:rsidRDefault="002C50AB" w:rsidP="002C50AB">
            <w:pPr>
              <w:jc w:val="center"/>
              <w:rPr>
                <w:rFonts w:ascii="Times New Roman" w:eastAsia="Times New Roman" w:hAnsi="Times New Roman" w:cs="Times New Roman"/>
                <w:sz w:val="20"/>
                <w:szCs w:val="20"/>
                <w:lang w:eastAsia="ru-RU"/>
              </w:rPr>
            </w:pPr>
            <w:r w:rsidRPr="00C8391B">
              <w:rPr>
                <w:rFonts w:ascii="Times New Roman" w:eastAsia="Times New Roman" w:hAnsi="Times New Roman" w:cs="Times New Roman"/>
                <w:sz w:val="20"/>
                <w:szCs w:val="20"/>
                <w:lang w:eastAsia="ru-RU"/>
              </w:rPr>
              <w:t>98,6</w:t>
            </w:r>
          </w:p>
        </w:tc>
        <w:tc>
          <w:tcPr>
            <w:tcW w:w="815" w:type="dxa"/>
          </w:tcPr>
          <w:p w:rsidR="002C50AB" w:rsidRPr="00C8391B" w:rsidRDefault="002C50AB" w:rsidP="002C50AB">
            <w:pPr>
              <w:jc w:val="center"/>
              <w:rPr>
                <w:rFonts w:ascii="Times New Roman" w:eastAsia="Times New Roman" w:hAnsi="Times New Roman" w:cs="Times New Roman"/>
                <w:sz w:val="20"/>
                <w:szCs w:val="20"/>
                <w:lang w:eastAsia="ru-RU"/>
              </w:rPr>
            </w:pPr>
            <w:r w:rsidRPr="00C8391B">
              <w:rPr>
                <w:rFonts w:ascii="Times New Roman" w:eastAsia="Times New Roman" w:hAnsi="Times New Roman" w:cs="Times New Roman"/>
                <w:sz w:val="20"/>
                <w:szCs w:val="20"/>
                <w:lang w:eastAsia="ru-RU"/>
              </w:rPr>
              <w:t>109,6</w:t>
            </w:r>
          </w:p>
        </w:tc>
      </w:tr>
      <w:tr w:rsidR="002C50AB" w:rsidTr="00F83FBF">
        <w:tc>
          <w:tcPr>
            <w:tcW w:w="709" w:type="dxa"/>
          </w:tcPr>
          <w:p w:rsidR="002C50AB" w:rsidRPr="00C8391B" w:rsidRDefault="00D47736" w:rsidP="002C50AB">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24</w:t>
            </w:r>
          </w:p>
        </w:tc>
        <w:tc>
          <w:tcPr>
            <w:tcW w:w="4678" w:type="dxa"/>
          </w:tcPr>
          <w:p w:rsidR="002C50AB" w:rsidRPr="00C8391B" w:rsidRDefault="002C50AB" w:rsidP="002C50AB">
            <w:pPr>
              <w:rPr>
                <w:rFonts w:ascii="Times New Roman" w:eastAsia="Times New Roman" w:hAnsi="Times New Roman" w:cs="Times New Roman"/>
                <w:sz w:val="20"/>
                <w:szCs w:val="20"/>
                <w:lang w:eastAsia="ru-RU"/>
              </w:rPr>
            </w:pPr>
            <w:r w:rsidRPr="00C8391B">
              <w:rPr>
                <w:rFonts w:ascii="Times New Roman" w:eastAsia="Times New Roman" w:hAnsi="Times New Roman" w:cs="Times New Roman"/>
                <w:sz w:val="20"/>
                <w:szCs w:val="20"/>
                <w:lang w:eastAsia="ru-RU"/>
              </w:rPr>
              <w:t>Количество вновь зарегистрированных субъектов малого и среднего предпринимательства на 1 тыс. существующих субъектов малого и среднего предпринимательства, (единиц)</w:t>
            </w:r>
          </w:p>
        </w:tc>
        <w:tc>
          <w:tcPr>
            <w:tcW w:w="1843" w:type="dxa"/>
          </w:tcPr>
          <w:p w:rsidR="002C50AB" w:rsidRPr="00C8391B" w:rsidRDefault="002C50AB" w:rsidP="002C50AB">
            <w:pPr>
              <w:jc w:val="center"/>
              <w:rPr>
                <w:rFonts w:ascii="Times New Roman" w:eastAsia="Times New Roman" w:hAnsi="Times New Roman" w:cs="Times New Roman"/>
                <w:sz w:val="20"/>
                <w:szCs w:val="20"/>
                <w:lang w:eastAsia="ru-RU"/>
              </w:rPr>
            </w:pPr>
            <w:r w:rsidRPr="00C8391B">
              <w:rPr>
                <w:rFonts w:ascii="Times New Roman" w:eastAsia="Times New Roman" w:hAnsi="Times New Roman" w:cs="Times New Roman"/>
                <w:sz w:val="20"/>
                <w:szCs w:val="20"/>
                <w:lang w:eastAsia="ru-RU"/>
              </w:rPr>
              <w:t>36,0</w:t>
            </w:r>
          </w:p>
        </w:tc>
        <w:tc>
          <w:tcPr>
            <w:tcW w:w="1701" w:type="dxa"/>
          </w:tcPr>
          <w:p w:rsidR="002C50AB" w:rsidRPr="00C8391B" w:rsidRDefault="002C50AB" w:rsidP="002C50AB">
            <w:pPr>
              <w:jc w:val="center"/>
              <w:rPr>
                <w:rFonts w:ascii="Times New Roman" w:eastAsia="Times New Roman" w:hAnsi="Times New Roman" w:cs="Times New Roman"/>
                <w:sz w:val="20"/>
                <w:szCs w:val="20"/>
                <w:lang w:eastAsia="ru-RU"/>
              </w:rPr>
            </w:pPr>
            <w:r w:rsidRPr="00C8391B">
              <w:rPr>
                <w:rFonts w:ascii="Times New Roman" w:eastAsia="Times New Roman" w:hAnsi="Times New Roman" w:cs="Times New Roman"/>
                <w:sz w:val="20"/>
                <w:szCs w:val="20"/>
                <w:lang w:eastAsia="ru-RU"/>
              </w:rPr>
              <w:t>104,7</w:t>
            </w:r>
          </w:p>
        </w:tc>
        <w:tc>
          <w:tcPr>
            <w:tcW w:w="815" w:type="dxa"/>
          </w:tcPr>
          <w:p w:rsidR="002C50AB" w:rsidRPr="00C8391B" w:rsidRDefault="002C50AB" w:rsidP="002C50AB">
            <w:pPr>
              <w:jc w:val="center"/>
              <w:rPr>
                <w:rFonts w:ascii="Times New Roman" w:eastAsia="Times New Roman" w:hAnsi="Times New Roman" w:cs="Times New Roman"/>
                <w:sz w:val="20"/>
                <w:szCs w:val="20"/>
                <w:lang w:eastAsia="ru-RU"/>
              </w:rPr>
            </w:pPr>
            <w:r w:rsidRPr="00C8391B">
              <w:rPr>
                <w:rFonts w:ascii="Times New Roman" w:eastAsia="Times New Roman" w:hAnsi="Times New Roman" w:cs="Times New Roman"/>
                <w:sz w:val="20"/>
                <w:szCs w:val="20"/>
                <w:lang w:eastAsia="ru-RU"/>
              </w:rPr>
              <w:t>290,8</w:t>
            </w:r>
          </w:p>
        </w:tc>
      </w:tr>
      <w:tr w:rsidR="002C50AB" w:rsidTr="00F83FBF">
        <w:tc>
          <w:tcPr>
            <w:tcW w:w="709" w:type="dxa"/>
          </w:tcPr>
          <w:p w:rsidR="002C50AB" w:rsidRPr="00C8391B" w:rsidRDefault="00D47736" w:rsidP="002C50AB">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25</w:t>
            </w:r>
          </w:p>
        </w:tc>
        <w:tc>
          <w:tcPr>
            <w:tcW w:w="4678" w:type="dxa"/>
          </w:tcPr>
          <w:p w:rsidR="002C50AB" w:rsidRPr="00C8391B" w:rsidRDefault="002C50AB" w:rsidP="002C50AB">
            <w:pPr>
              <w:rPr>
                <w:rFonts w:ascii="Times New Roman" w:eastAsia="Times New Roman" w:hAnsi="Times New Roman" w:cs="Times New Roman"/>
                <w:sz w:val="20"/>
                <w:szCs w:val="20"/>
                <w:lang w:eastAsia="ru-RU"/>
              </w:rPr>
            </w:pPr>
            <w:r w:rsidRPr="00C8391B">
              <w:rPr>
                <w:rFonts w:ascii="Times New Roman" w:eastAsia="Times New Roman" w:hAnsi="Times New Roman" w:cs="Times New Roman"/>
                <w:sz w:val="20"/>
                <w:szCs w:val="20"/>
                <w:lang w:eastAsia="ru-RU"/>
              </w:rPr>
              <w:t>Количество вновь зарегистрированных субъектов малого и среднего предпринимательства, (единиц)</w:t>
            </w:r>
          </w:p>
        </w:tc>
        <w:tc>
          <w:tcPr>
            <w:tcW w:w="1843" w:type="dxa"/>
          </w:tcPr>
          <w:p w:rsidR="002C50AB" w:rsidRPr="00C8391B" w:rsidRDefault="002C50AB" w:rsidP="002C50AB">
            <w:pPr>
              <w:jc w:val="center"/>
              <w:rPr>
                <w:rFonts w:ascii="Times New Roman" w:eastAsia="Times New Roman" w:hAnsi="Times New Roman" w:cs="Times New Roman"/>
                <w:sz w:val="20"/>
                <w:szCs w:val="20"/>
                <w:lang w:eastAsia="ru-RU"/>
              </w:rPr>
            </w:pPr>
            <w:r w:rsidRPr="00C8391B">
              <w:rPr>
                <w:rFonts w:ascii="Times New Roman" w:eastAsia="Times New Roman" w:hAnsi="Times New Roman" w:cs="Times New Roman"/>
                <w:sz w:val="20"/>
                <w:szCs w:val="20"/>
                <w:lang w:eastAsia="ru-RU"/>
              </w:rPr>
              <w:t>3400,0</w:t>
            </w:r>
          </w:p>
        </w:tc>
        <w:tc>
          <w:tcPr>
            <w:tcW w:w="1701" w:type="dxa"/>
          </w:tcPr>
          <w:p w:rsidR="002C50AB" w:rsidRPr="00C8391B" w:rsidRDefault="002C50AB" w:rsidP="002C50AB">
            <w:pPr>
              <w:jc w:val="center"/>
              <w:rPr>
                <w:rFonts w:ascii="Times New Roman" w:eastAsia="Times New Roman" w:hAnsi="Times New Roman" w:cs="Times New Roman"/>
                <w:sz w:val="20"/>
                <w:szCs w:val="20"/>
                <w:lang w:eastAsia="ru-RU"/>
              </w:rPr>
            </w:pPr>
            <w:r w:rsidRPr="00C8391B">
              <w:rPr>
                <w:rFonts w:ascii="Times New Roman" w:eastAsia="Times New Roman" w:hAnsi="Times New Roman" w:cs="Times New Roman"/>
                <w:sz w:val="20"/>
                <w:szCs w:val="20"/>
                <w:lang w:eastAsia="ru-RU"/>
              </w:rPr>
              <w:t>8261,0</w:t>
            </w:r>
          </w:p>
        </w:tc>
        <w:tc>
          <w:tcPr>
            <w:tcW w:w="815" w:type="dxa"/>
          </w:tcPr>
          <w:p w:rsidR="002C50AB" w:rsidRPr="00C8391B" w:rsidRDefault="002C50AB" w:rsidP="002C50AB">
            <w:pPr>
              <w:jc w:val="center"/>
              <w:rPr>
                <w:rFonts w:ascii="Times New Roman" w:eastAsia="Times New Roman" w:hAnsi="Times New Roman" w:cs="Times New Roman"/>
                <w:sz w:val="20"/>
                <w:szCs w:val="20"/>
                <w:lang w:eastAsia="ru-RU"/>
              </w:rPr>
            </w:pPr>
            <w:r w:rsidRPr="00C8391B">
              <w:rPr>
                <w:rFonts w:ascii="Times New Roman" w:eastAsia="Times New Roman" w:hAnsi="Times New Roman" w:cs="Times New Roman"/>
                <w:sz w:val="20"/>
                <w:szCs w:val="20"/>
                <w:lang w:eastAsia="ru-RU"/>
              </w:rPr>
              <w:t>243,0</w:t>
            </w:r>
          </w:p>
        </w:tc>
      </w:tr>
      <w:tr w:rsidR="002C50AB" w:rsidTr="00F83FBF">
        <w:tc>
          <w:tcPr>
            <w:tcW w:w="709" w:type="dxa"/>
          </w:tcPr>
          <w:p w:rsidR="002C50AB" w:rsidRPr="00C8391B" w:rsidRDefault="00D47736" w:rsidP="002C50AB">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26</w:t>
            </w:r>
          </w:p>
        </w:tc>
        <w:tc>
          <w:tcPr>
            <w:tcW w:w="4678" w:type="dxa"/>
          </w:tcPr>
          <w:p w:rsidR="002C50AB" w:rsidRPr="00C8391B" w:rsidRDefault="002C50AB" w:rsidP="002C50AB">
            <w:pPr>
              <w:rPr>
                <w:rFonts w:ascii="Times New Roman" w:eastAsia="Times New Roman" w:hAnsi="Times New Roman" w:cs="Times New Roman"/>
                <w:sz w:val="20"/>
                <w:szCs w:val="20"/>
                <w:lang w:eastAsia="ru-RU"/>
              </w:rPr>
            </w:pPr>
            <w:r w:rsidRPr="00C8391B">
              <w:rPr>
                <w:rFonts w:ascii="Times New Roman" w:eastAsia="Times New Roman" w:hAnsi="Times New Roman" w:cs="Times New Roman"/>
                <w:sz w:val="20"/>
                <w:szCs w:val="20"/>
                <w:lang w:eastAsia="ru-RU"/>
              </w:rPr>
              <w:t xml:space="preserve">Оборот продукции (услуг), производимых малыми предприятиями, в том числе </w:t>
            </w:r>
            <w:proofErr w:type="spellStart"/>
            <w:r w:rsidRPr="00C8391B">
              <w:rPr>
                <w:rFonts w:ascii="Times New Roman" w:eastAsia="Times New Roman" w:hAnsi="Times New Roman" w:cs="Times New Roman"/>
                <w:sz w:val="20"/>
                <w:szCs w:val="20"/>
                <w:lang w:eastAsia="ru-RU"/>
              </w:rPr>
              <w:t>микропредприятиями</w:t>
            </w:r>
            <w:proofErr w:type="spellEnd"/>
            <w:r w:rsidRPr="00C8391B">
              <w:rPr>
                <w:rFonts w:ascii="Times New Roman" w:eastAsia="Times New Roman" w:hAnsi="Times New Roman" w:cs="Times New Roman"/>
                <w:sz w:val="20"/>
                <w:szCs w:val="20"/>
                <w:lang w:eastAsia="ru-RU"/>
              </w:rPr>
              <w:t xml:space="preserve"> и индивидуальными предпринимателями, (млрд. рублей) &lt;4&gt;</w:t>
            </w:r>
          </w:p>
        </w:tc>
        <w:tc>
          <w:tcPr>
            <w:tcW w:w="1843" w:type="dxa"/>
          </w:tcPr>
          <w:p w:rsidR="002C50AB" w:rsidRPr="00C8391B" w:rsidRDefault="002C50AB" w:rsidP="002C50AB">
            <w:pPr>
              <w:jc w:val="center"/>
              <w:rPr>
                <w:rFonts w:ascii="Times New Roman" w:eastAsia="Times New Roman" w:hAnsi="Times New Roman" w:cs="Times New Roman"/>
                <w:sz w:val="20"/>
                <w:szCs w:val="20"/>
                <w:lang w:eastAsia="ru-RU"/>
              </w:rPr>
            </w:pPr>
            <w:r w:rsidRPr="00C8391B">
              <w:rPr>
                <w:rFonts w:ascii="Times New Roman" w:eastAsia="Times New Roman" w:hAnsi="Times New Roman" w:cs="Times New Roman"/>
                <w:sz w:val="20"/>
                <w:szCs w:val="20"/>
                <w:lang w:eastAsia="ru-RU"/>
              </w:rPr>
              <w:t>560,0</w:t>
            </w:r>
          </w:p>
        </w:tc>
        <w:tc>
          <w:tcPr>
            <w:tcW w:w="1701" w:type="dxa"/>
          </w:tcPr>
          <w:p w:rsidR="002C50AB" w:rsidRPr="00C8391B" w:rsidRDefault="002C50AB" w:rsidP="002C50AB">
            <w:pPr>
              <w:jc w:val="center"/>
              <w:rPr>
                <w:rFonts w:ascii="Times New Roman" w:eastAsia="Times New Roman" w:hAnsi="Times New Roman" w:cs="Times New Roman"/>
                <w:sz w:val="20"/>
                <w:szCs w:val="20"/>
                <w:lang w:eastAsia="ru-RU"/>
              </w:rPr>
            </w:pPr>
            <w:r w:rsidRPr="00C8391B">
              <w:rPr>
                <w:rFonts w:ascii="Times New Roman" w:eastAsia="Times New Roman" w:hAnsi="Times New Roman" w:cs="Times New Roman"/>
                <w:sz w:val="20"/>
                <w:szCs w:val="20"/>
                <w:lang w:eastAsia="ru-RU"/>
              </w:rPr>
              <w:t>492,0</w:t>
            </w:r>
          </w:p>
        </w:tc>
        <w:tc>
          <w:tcPr>
            <w:tcW w:w="815" w:type="dxa"/>
          </w:tcPr>
          <w:p w:rsidR="002C50AB" w:rsidRPr="00C8391B" w:rsidRDefault="002C50AB" w:rsidP="002C50AB">
            <w:pPr>
              <w:jc w:val="center"/>
              <w:rPr>
                <w:rFonts w:ascii="Times New Roman" w:eastAsia="Times New Roman" w:hAnsi="Times New Roman" w:cs="Times New Roman"/>
                <w:sz w:val="20"/>
                <w:szCs w:val="20"/>
                <w:lang w:eastAsia="ru-RU"/>
              </w:rPr>
            </w:pPr>
            <w:r w:rsidRPr="00C8391B">
              <w:rPr>
                <w:rFonts w:ascii="Times New Roman" w:eastAsia="Times New Roman" w:hAnsi="Times New Roman" w:cs="Times New Roman"/>
                <w:sz w:val="20"/>
                <w:szCs w:val="20"/>
                <w:lang w:eastAsia="ru-RU"/>
              </w:rPr>
              <w:t>87,9</w:t>
            </w:r>
          </w:p>
        </w:tc>
      </w:tr>
      <w:tr w:rsidR="002C50AB" w:rsidTr="00F83FBF">
        <w:tc>
          <w:tcPr>
            <w:tcW w:w="709" w:type="dxa"/>
          </w:tcPr>
          <w:p w:rsidR="002C50AB" w:rsidRPr="00C8391B" w:rsidRDefault="00D47736" w:rsidP="002C50AB">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27</w:t>
            </w:r>
          </w:p>
        </w:tc>
        <w:tc>
          <w:tcPr>
            <w:tcW w:w="4678" w:type="dxa"/>
          </w:tcPr>
          <w:p w:rsidR="002C50AB" w:rsidRPr="00C8391B" w:rsidRDefault="002C50AB" w:rsidP="002C50AB">
            <w:pPr>
              <w:rPr>
                <w:rFonts w:ascii="Times New Roman" w:eastAsia="Times New Roman" w:hAnsi="Times New Roman" w:cs="Times New Roman"/>
                <w:sz w:val="20"/>
                <w:szCs w:val="20"/>
                <w:lang w:eastAsia="ru-RU"/>
              </w:rPr>
            </w:pPr>
            <w:r w:rsidRPr="00C8391B">
              <w:rPr>
                <w:rFonts w:ascii="Times New Roman" w:eastAsia="Times New Roman" w:hAnsi="Times New Roman" w:cs="Times New Roman"/>
                <w:sz w:val="20"/>
                <w:szCs w:val="20"/>
                <w:lang w:eastAsia="ru-RU"/>
              </w:rPr>
              <w:t>Оценка предпринимательским сообществом общих условий ведения предпринимательской деятельности, (балл)  &lt;1&gt;</w:t>
            </w:r>
          </w:p>
        </w:tc>
        <w:tc>
          <w:tcPr>
            <w:tcW w:w="1843" w:type="dxa"/>
          </w:tcPr>
          <w:p w:rsidR="002C50AB" w:rsidRPr="00C8391B" w:rsidRDefault="002C50AB" w:rsidP="002C50AB">
            <w:pPr>
              <w:jc w:val="center"/>
              <w:rPr>
                <w:rFonts w:ascii="Times New Roman" w:eastAsia="Times New Roman" w:hAnsi="Times New Roman" w:cs="Times New Roman"/>
                <w:sz w:val="20"/>
                <w:szCs w:val="20"/>
                <w:lang w:eastAsia="ru-RU"/>
              </w:rPr>
            </w:pPr>
            <w:r w:rsidRPr="00C8391B">
              <w:rPr>
                <w:rFonts w:ascii="Times New Roman" w:eastAsia="Times New Roman" w:hAnsi="Times New Roman" w:cs="Times New Roman"/>
                <w:sz w:val="20"/>
                <w:szCs w:val="20"/>
                <w:lang w:eastAsia="ru-RU"/>
              </w:rPr>
              <w:t>6,5</w:t>
            </w:r>
          </w:p>
        </w:tc>
        <w:tc>
          <w:tcPr>
            <w:tcW w:w="1701" w:type="dxa"/>
          </w:tcPr>
          <w:p w:rsidR="002C50AB" w:rsidRPr="00C8391B" w:rsidRDefault="002C50AB" w:rsidP="002C50AB">
            <w:pPr>
              <w:jc w:val="center"/>
              <w:rPr>
                <w:rFonts w:ascii="Times New Roman" w:eastAsia="Times New Roman" w:hAnsi="Times New Roman" w:cs="Times New Roman"/>
                <w:sz w:val="20"/>
                <w:szCs w:val="20"/>
                <w:lang w:eastAsia="ru-RU"/>
              </w:rPr>
            </w:pPr>
            <w:r w:rsidRPr="00C8391B">
              <w:rPr>
                <w:rFonts w:ascii="Times New Roman" w:eastAsia="Times New Roman" w:hAnsi="Times New Roman" w:cs="Times New Roman"/>
                <w:sz w:val="20"/>
                <w:szCs w:val="20"/>
                <w:lang w:eastAsia="ru-RU"/>
              </w:rPr>
              <w:t>6,5</w:t>
            </w:r>
          </w:p>
        </w:tc>
        <w:tc>
          <w:tcPr>
            <w:tcW w:w="815" w:type="dxa"/>
          </w:tcPr>
          <w:p w:rsidR="002C50AB" w:rsidRPr="00C8391B" w:rsidRDefault="002C50AB" w:rsidP="002C50AB">
            <w:pPr>
              <w:jc w:val="center"/>
              <w:rPr>
                <w:rFonts w:ascii="Times New Roman" w:eastAsia="Times New Roman" w:hAnsi="Times New Roman" w:cs="Times New Roman"/>
                <w:sz w:val="20"/>
                <w:szCs w:val="20"/>
                <w:lang w:eastAsia="ru-RU"/>
              </w:rPr>
            </w:pPr>
            <w:r w:rsidRPr="00C8391B">
              <w:rPr>
                <w:rFonts w:ascii="Times New Roman" w:eastAsia="Times New Roman" w:hAnsi="Times New Roman" w:cs="Times New Roman"/>
                <w:sz w:val="20"/>
                <w:szCs w:val="20"/>
                <w:lang w:eastAsia="ru-RU"/>
              </w:rPr>
              <w:t>100,0</w:t>
            </w:r>
          </w:p>
        </w:tc>
      </w:tr>
      <w:tr w:rsidR="002C50AB" w:rsidTr="00F83FBF">
        <w:tc>
          <w:tcPr>
            <w:tcW w:w="709" w:type="dxa"/>
          </w:tcPr>
          <w:p w:rsidR="002C50AB" w:rsidRPr="00C8391B" w:rsidRDefault="00D47736" w:rsidP="002C50AB">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28</w:t>
            </w:r>
          </w:p>
        </w:tc>
        <w:tc>
          <w:tcPr>
            <w:tcW w:w="4678" w:type="dxa"/>
          </w:tcPr>
          <w:p w:rsidR="002C50AB" w:rsidRPr="00C8391B" w:rsidRDefault="002C50AB" w:rsidP="002C50AB">
            <w:pPr>
              <w:rPr>
                <w:rFonts w:ascii="Times New Roman" w:eastAsia="Times New Roman" w:hAnsi="Times New Roman" w:cs="Times New Roman"/>
                <w:sz w:val="20"/>
                <w:szCs w:val="20"/>
                <w:lang w:eastAsia="ru-RU"/>
              </w:rPr>
            </w:pPr>
            <w:r w:rsidRPr="00C8391B">
              <w:rPr>
                <w:rFonts w:ascii="Times New Roman" w:eastAsia="Times New Roman" w:hAnsi="Times New Roman" w:cs="Times New Roman"/>
                <w:sz w:val="20"/>
                <w:szCs w:val="20"/>
                <w:lang w:eastAsia="ru-RU"/>
              </w:rPr>
              <w:t>Оценка предпринимательским сообществом эффективности реализации программы поддержки малого и среднего предпринимательства, (балл) &lt;1&gt;</w:t>
            </w:r>
          </w:p>
        </w:tc>
        <w:tc>
          <w:tcPr>
            <w:tcW w:w="1843" w:type="dxa"/>
          </w:tcPr>
          <w:p w:rsidR="002C50AB" w:rsidRPr="00C8391B" w:rsidRDefault="002C50AB" w:rsidP="002C50AB">
            <w:pPr>
              <w:jc w:val="center"/>
              <w:rPr>
                <w:rFonts w:ascii="Times New Roman" w:eastAsia="Times New Roman" w:hAnsi="Times New Roman" w:cs="Times New Roman"/>
                <w:sz w:val="20"/>
                <w:szCs w:val="20"/>
                <w:lang w:eastAsia="ru-RU"/>
              </w:rPr>
            </w:pPr>
            <w:r w:rsidRPr="00C8391B">
              <w:rPr>
                <w:rFonts w:ascii="Times New Roman" w:eastAsia="Times New Roman" w:hAnsi="Times New Roman" w:cs="Times New Roman"/>
                <w:sz w:val="20"/>
                <w:szCs w:val="20"/>
                <w:lang w:eastAsia="ru-RU"/>
              </w:rPr>
              <w:t>6,5</w:t>
            </w:r>
          </w:p>
        </w:tc>
        <w:tc>
          <w:tcPr>
            <w:tcW w:w="1701" w:type="dxa"/>
          </w:tcPr>
          <w:p w:rsidR="002C50AB" w:rsidRPr="00C8391B" w:rsidRDefault="002C50AB" w:rsidP="002C50AB">
            <w:pPr>
              <w:jc w:val="center"/>
              <w:rPr>
                <w:rFonts w:ascii="Times New Roman" w:eastAsia="Times New Roman" w:hAnsi="Times New Roman" w:cs="Times New Roman"/>
                <w:sz w:val="20"/>
                <w:szCs w:val="20"/>
                <w:lang w:eastAsia="ru-RU"/>
              </w:rPr>
            </w:pPr>
            <w:r w:rsidRPr="00C8391B">
              <w:rPr>
                <w:rFonts w:ascii="Times New Roman" w:eastAsia="Times New Roman" w:hAnsi="Times New Roman" w:cs="Times New Roman"/>
                <w:sz w:val="20"/>
                <w:szCs w:val="20"/>
                <w:lang w:eastAsia="ru-RU"/>
              </w:rPr>
              <w:t>6,5</w:t>
            </w:r>
          </w:p>
        </w:tc>
        <w:tc>
          <w:tcPr>
            <w:tcW w:w="815" w:type="dxa"/>
          </w:tcPr>
          <w:p w:rsidR="002C50AB" w:rsidRPr="00C8391B" w:rsidRDefault="002C50AB" w:rsidP="002C50AB">
            <w:pPr>
              <w:jc w:val="center"/>
              <w:rPr>
                <w:rFonts w:ascii="Times New Roman" w:eastAsia="Times New Roman" w:hAnsi="Times New Roman" w:cs="Times New Roman"/>
                <w:sz w:val="20"/>
                <w:szCs w:val="20"/>
                <w:lang w:eastAsia="ru-RU"/>
              </w:rPr>
            </w:pPr>
            <w:r w:rsidRPr="00C8391B">
              <w:rPr>
                <w:rFonts w:ascii="Times New Roman" w:eastAsia="Times New Roman" w:hAnsi="Times New Roman" w:cs="Times New Roman"/>
                <w:sz w:val="20"/>
                <w:szCs w:val="20"/>
                <w:lang w:eastAsia="ru-RU"/>
              </w:rPr>
              <w:t>100,0</w:t>
            </w:r>
          </w:p>
        </w:tc>
      </w:tr>
      <w:tr w:rsidR="002C50AB" w:rsidTr="00F83FBF">
        <w:tc>
          <w:tcPr>
            <w:tcW w:w="709" w:type="dxa"/>
          </w:tcPr>
          <w:p w:rsidR="002C50AB" w:rsidRPr="00C8391B" w:rsidRDefault="00D47736" w:rsidP="002C50AB">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29</w:t>
            </w:r>
          </w:p>
        </w:tc>
        <w:tc>
          <w:tcPr>
            <w:tcW w:w="4678" w:type="dxa"/>
          </w:tcPr>
          <w:p w:rsidR="002C50AB" w:rsidRPr="00C8391B" w:rsidRDefault="002C50AB" w:rsidP="002C50AB">
            <w:pPr>
              <w:rPr>
                <w:rFonts w:ascii="Times New Roman" w:eastAsia="Times New Roman" w:hAnsi="Times New Roman" w:cs="Times New Roman"/>
                <w:sz w:val="20"/>
                <w:szCs w:val="20"/>
                <w:lang w:eastAsia="ru-RU"/>
              </w:rPr>
            </w:pPr>
            <w:r w:rsidRPr="00C8391B">
              <w:rPr>
                <w:rFonts w:ascii="Times New Roman" w:eastAsia="Times New Roman" w:hAnsi="Times New Roman" w:cs="Times New Roman"/>
                <w:sz w:val="20"/>
                <w:szCs w:val="20"/>
                <w:lang w:eastAsia="ru-RU"/>
              </w:rPr>
              <w:t xml:space="preserve">Оценка предпринимательским сообществом </w:t>
            </w:r>
            <w:proofErr w:type="gramStart"/>
            <w:r w:rsidRPr="00C8391B">
              <w:rPr>
                <w:rFonts w:ascii="Times New Roman" w:eastAsia="Times New Roman" w:hAnsi="Times New Roman" w:cs="Times New Roman"/>
                <w:sz w:val="20"/>
                <w:szCs w:val="20"/>
                <w:lang w:eastAsia="ru-RU"/>
              </w:rPr>
              <w:t>эффективности реализации внедренных элементов деятельности исполнительных органов государственной власти автономного округа</w:t>
            </w:r>
            <w:proofErr w:type="gramEnd"/>
            <w:r w:rsidRPr="00C8391B">
              <w:rPr>
                <w:rFonts w:ascii="Times New Roman" w:eastAsia="Times New Roman" w:hAnsi="Times New Roman" w:cs="Times New Roman"/>
                <w:sz w:val="20"/>
                <w:szCs w:val="20"/>
                <w:lang w:eastAsia="ru-RU"/>
              </w:rPr>
              <w:t xml:space="preserve"> по обеспечению благоприятного инвестиционного климата, балл &lt;1&gt;</w:t>
            </w:r>
          </w:p>
        </w:tc>
        <w:tc>
          <w:tcPr>
            <w:tcW w:w="1843" w:type="dxa"/>
          </w:tcPr>
          <w:p w:rsidR="002C50AB" w:rsidRPr="00C8391B" w:rsidRDefault="002C50AB" w:rsidP="002C50AB">
            <w:pPr>
              <w:jc w:val="center"/>
              <w:rPr>
                <w:rFonts w:ascii="Times New Roman" w:eastAsia="Times New Roman" w:hAnsi="Times New Roman" w:cs="Times New Roman"/>
                <w:sz w:val="20"/>
                <w:szCs w:val="20"/>
                <w:lang w:eastAsia="ru-RU"/>
              </w:rPr>
            </w:pPr>
            <w:r w:rsidRPr="00C8391B">
              <w:rPr>
                <w:rFonts w:ascii="Times New Roman" w:eastAsia="Times New Roman" w:hAnsi="Times New Roman" w:cs="Times New Roman"/>
                <w:sz w:val="20"/>
                <w:szCs w:val="20"/>
                <w:lang w:eastAsia="ru-RU"/>
              </w:rPr>
              <w:t>8,0</w:t>
            </w:r>
          </w:p>
        </w:tc>
        <w:tc>
          <w:tcPr>
            <w:tcW w:w="1701" w:type="dxa"/>
          </w:tcPr>
          <w:p w:rsidR="002C50AB" w:rsidRPr="00C8391B" w:rsidRDefault="002C50AB" w:rsidP="002C50AB">
            <w:pPr>
              <w:jc w:val="center"/>
              <w:rPr>
                <w:rFonts w:ascii="Times New Roman" w:eastAsia="Times New Roman" w:hAnsi="Times New Roman" w:cs="Times New Roman"/>
                <w:sz w:val="20"/>
                <w:szCs w:val="20"/>
                <w:lang w:eastAsia="ru-RU"/>
              </w:rPr>
            </w:pPr>
            <w:r w:rsidRPr="00C8391B">
              <w:rPr>
                <w:rFonts w:ascii="Times New Roman" w:eastAsia="Times New Roman" w:hAnsi="Times New Roman" w:cs="Times New Roman"/>
                <w:sz w:val="20"/>
                <w:szCs w:val="20"/>
                <w:lang w:eastAsia="ru-RU"/>
              </w:rPr>
              <w:t>8,0</w:t>
            </w:r>
          </w:p>
        </w:tc>
        <w:tc>
          <w:tcPr>
            <w:tcW w:w="815" w:type="dxa"/>
          </w:tcPr>
          <w:p w:rsidR="002C50AB" w:rsidRPr="00C8391B" w:rsidRDefault="002C50AB" w:rsidP="002C50AB">
            <w:pPr>
              <w:jc w:val="center"/>
              <w:rPr>
                <w:rFonts w:ascii="Times New Roman" w:eastAsia="Times New Roman" w:hAnsi="Times New Roman" w:cs="Times New Roman"/>
                <w:sz w:val="20"/>
                <w:szCs w:val="20"/>
                <w:lang w:eastAsia="ru-RU"/>
              </w:rPr>
            </w:pPr>
            <w:r w:rsidRPr="00C8391B">
              <w:rPr>
                <w:rFonts w:ascii="Times New Roman" w:eastAsia="Times New Roman" w:hAnsi="Times New Roman" w:cs="Times New Roman"/>
                <w:sz w:val="20"/>
                <w:szCs w:val="20"/>
                <w:lang w:eastAsia="ru-RU"/>
              </w:rPr>
              <w:t>100,0</w:t>
            </w:r>
          </w:p>
        </w:tc>
      </w:tr>
      <w:tr w:rsidR="002C50AB" w:rsidTr="00F83FBF">
        <w:tc>
          <w:tcPr>
            <w:tcW w:w="709" w:type="dxa"/>
          </w:tcPr>
          <w:p w:rsidR="002C50AB" w:rsidRPr="00C8391B" w:rsidRDefault="00D47736" w:rsidP="002C50AB">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30</w:t>
            </w:r>
          </w:p>
        </w:tc>
        <w:tc>
          <w:tcPr>
            <w:tcW w:w="4678" w:type="dxa"/>
          </w:tcPr>
          <w:p w:rsidR="002C50AB" w:rsidRPr="00C8391B" w:rsidRDefault="002C50AB" w:rsidP="002C50AB">
            <w:pPr>
              <w:rPr>
                <w:rFonts w:ascii="Times New Roman" w:eastAsia="Times New Roman" w:hAnsi="Times New Roman" w:cs="Times New Roman"/>
                <w:sz w:val="20"/>
                <w:szCs w:val="20"/>
                <w:lang w:eastAsia="ru-RU"/>
              </w:rPr>
            </w:pPr>
            <w:r w:rsidRPr="00C8391B">
              <w:rPr>
                <w:rFonts w:ascii="Times New Roman" w:eastAsia="Times New Roman" w:hAnsi="Times New Roman" w:cs="Times New Roman"/>
                <w:sz w:val="20"/>
                <w:szCs w:val="20"/>
                <w:lang w:eastAsia="ru-RU"/>
              </w:rPr>
              <w:t>Доля рабочих мест, созданных в компаниях-резидентах объектов инвестиционной инфраструктуры (</w:t>
            </w:r>
            <w:proofErr w:type="gramStart"/>
            <w:r w:rsidRPr="00C8391B">
              <w:rPr>
                <w:rFonts w:ascii="Times New Roman" w:eastAsia="Times New Roman" w:hAnsi="Times New Roman" w:cs="Times New Roman"/>
                <w:sz w:val="20"/>
                <w:szCs w:val="20"/>
                <w:lang w:eastAsia="ru-RU"/>
              </w:rPr>
              <w:t>бизнес-инкубаторов</w:t>
            </w:r>
            <w:proofErr w:type="gramEnd"/>
            <w:r w:rsidRPr="00C8391B">
              <w:rPr>
                <w:rFonts w:ascii="Times New Roman" w:eastAsia="Times New Roman" w:hAnsi="Times New Roman" w:cs="Times New Roman"/>
                <w:sz w:val="20"/>
                <w:szCs w:val="20"/>
                <w:lang w:eastAsia="ru-RU"/>
              </w:rPr>
              <w:t>, технопарков, промышленных парков), в общем количестве занятого населения в автономном округе, (%)</w:t>
            </w:r>
          </w:p>
        </w:tc>
        <w:tc>
          <w:tcPr>
            <w:tcW w:w="1843" w:type="dxa"/>
          </w:tcPr>
          <w:p w:rsidR="002C50AB" w:rsidRPr="00C8391B" w:rsidRDefault="002C50AB" w:rsidP="002C50AB">
            <w:pPr>
              <w:jc w:val="center"/>
              <w:rPr>
                <w:rFonts w:ascii="Times New Roman" w:eastAsia="Times New Roman" w:hAnsi="Times New Roman" w:cs="Times New Roman"/>
                <w:sz w:val="20"/>
                <w:szCs w:val="20"/>
                <w:lang w:eastAsia="ru-RU"/>
              </w:rPr>
            </w:pPr>
            <w:r w:rsidRPr="00C8391B">
              <w:rPr>
                <w:rFonts w:ascii="Times New Roman" w:eastAsia="Times New Roman" w:hAnsi="Times New Roman" w:cs="Times New Roman"/>
                <w:sz w:val="20"/>
                <w:szCs w:val="20"/>
                <w:lang w:eastAsia="ru-RU"/>
              </w:rPr>
              <w:t>0,1</w:t>
            </w:r>
          </w:p>
        </w:tc>
        <w:tc>
          <w:tcPr>
            <w:tcW w:w="1701" w:type="dxa"/>
          </w:tcPr>
          <w:p w:rsidR="002C50AB" w:rsidRPr="00C8391B" w:rsidRDefault="002C50AB" w:rsidP="002C50AB">
            <w:pPr>
              <w:jc w:val="center"/>
              <w:rPr>
                <w:rFonts w:ascii="Times New Roman" w:eastAsia="Times New Roman" w:hAnsi="Times New Roman" w:cs="Times New Roman"/>
                <w:sz w:val="20"/>
                <w:szCs w:val="20"/>
                <w:lang w:eastAsia="ru-RU"/>
              </w:rPr>
            </w:pPr>
            <w:r w:rsidRPr="00C8391B">
              <w:rPr>
                <w:rFonts w:ascii="Times New Roman" w:eastAsia="Times New Roman" w:hAnsi="Times New Roman" w:cs="Times New Roman"/>
                <w:sz w:val="20"/>
                <w:szCs w:val="20"/>
                <w:lang w:eastAsia="ru-RU"/>
              </w:rPr>
              <w:t>0,1</w:t>
            </w:r>
          </w:p>
        </w:tc>
        <w:tc>
          <w:tcPr>
            <w:tcW w:w="815" w:type="dxa"/>
          </w:tcPr>
          <w:p w:rsidR="002C50AB" w:rsidRPr="00C8391B" w:rsidRDefault="002C50AB" w:rsidP="002C50AB">
            <w:pPr>
              <w:jc w:val="center"/>
              <w:rPr>
                <w:rFonts w:ascii="Times New Roman" w:eastAsia="Times New Roman" w:hAnsi="Times New Roman" w:cs="Times New Roman"/>
                <w:sz w:val="20"/>
                <w:szCs w:val="20"/>
                <w:lang w:eastAsia="ru-RU"/>
              </w:rPr>
            </w:pPr>
            <w:r w:rsidRPr="00C8391B">
              <w:rPr>
                <w:rFonts w:ascii="Times New Roman" w:eastAsia="Times New Roman" w:hAnsi="Times New Roman" w:cs="Times New Roman"/>
                <w:sz w:val="20"/>
                <w:szCs w:val="20"/>
                <w:lang w:eastAsia="ru-RU"/>
              </w:rPr>
              <w:t>100,0</w:t>
            </w:r>
          </w:p>
        </w:tc>
      </w:tr>
      <w:tr w:rsidR="00F83FBF" w:rsidTr="00F83FBF">
        <w:tc>
          <w:tcPr>
            <w:tcW w:w="709" w:type="dxa"/>
          </w:tcPr>
          <w:p w:rsidR="00F83FBF" w:rsidRPr="00C8391B" w:rsidRDefault="00DB1285" w:rsidP="00F83FBF">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31</w:t>
            </w:r>
          </w:p>
        </w:tc>
        <w:tc>
          <w:tcPr>
            <w:tcW w:w="4678" w:type="dxa"/>
          </w:tcPr>
          <w:p w:rsidR="00F83FBF" w:rsidRPr="00C8391B" w:rsidRDefault="00F83FBF" w:rsidP="00F83FBF">
            <w:pPr>
              <w:rPr>
                <w:rFonts w:ascii="Times New Roman" w:eastAsia="Times New Roman" w:hAnsi="Times New Roman" w:cs="Times New Roman"/>
                <w:sz w:val="20"/>
                <w:szCs w:val="20"/>
                <w:lang w:eastAsia="ru-RU"/>
              </w:rPr>
            </w:pPr>
            <w:r w:rsidRPr="00C8391B">
              <w:rPr>
                <w:rFonts w:ascii="Times New Roman" w:eastAsia="Times New Roman" w:hAnsi="Times New Roman" w:cs="Times New Roman"/>
                <w:sz w:val="20"/>
                <w:szCs w:val="20"/>
                <w:lang w:eastAsia="ru-RU"/>
              </w:rPr>
              <w:t>Объем инвестиций в основной капитал в общем объеме ВРП, (%) &lt;3&gt;</w:t>
            </w:r>
          </w:p>
        </w:tc>
        <w:tc>
          <w:tcPr>
            <w:tcW w:w="1843" w:type="dxa"/>
          </w:tcPr>
          <w:p w:rsidR="00F83FBF" w:rsidRPr="00C8391B" w:rsidRDefault="00F83FBF" w:rsidP="00F83FBF">
            <w:pPr>
              <w:jc w:val="center"/>
              <w:rPr>
                <w:rFonts w:ascii="Times New Roman" w:eastAsia="Times New Roman" w:hAnsi="Times New Roman" w:cs="Times New Roman"/>
                <w:sz w:val="20"/>
                <w:szCs w:val="20"/>
                <w:lang w:eastAsia="ru-RU"/>
              </w:rPr>
            </w:pPr>
            <w:r w:rsidRPr="00C8391B">
              <w:rPr>
                <w:rFonts w:ascii="Times New Roman" w:eastAsia="Times New Roman" w:hAnsi="Times New Roman" w:cs="Times New Roman"/>
                <w:sz w:val="20"/>
                <w:szCs w:val="20"/>
                <w:lang w:eastAsia="ru-RU"/>
              </w:rPr>
              <w:t>25,8</w:t>
            </w:r>
          </w:p>
        </w:tc>
        <w:tc>
          <w:tcPr>
            <w:tcW w:w="1701" w:type="dxa"/>
          </w:tcPr>
          <w:p w:rsidR="00F83FBF" w:rsidRPr="00C8391B" w:rsidRDefault="00F83FBF" w:rsidP="00F83FBF">
            <w:pPr>
              <w:jc w:val="center"/>
              <w:rPr>
                <w:rFonts w:ascii="Times New Roman" w:eastAsia="Times New Roman" w:hAnsi="Times New Roman" w:cs="Times New Roman"/>
                <w:sz w:val="20"/>
                <w:szCs w:val="20"/>
                <w:lang w:eastAsia="ru-RU"/>
              </w:rPr>
            </w:pPr>
            <w:r w:rsidRPr="00C8391B">
              <w:rPr>
                <w:rFonts w:ascii="Times New Roman" w:eastAsia="Times New Roman" w:hAnsi="Times New Roman" w:cs="Times New Roman"/>
                <w:sz w:val="20"/>
                <w:szCs w:val="20"/>
                <w:lang w:eastAsia="ru-RU"/>
              </w:rPr>
              <w:t>25,8</w:t>
            </w:r>
          </w:p>
        </w:tc>
        <w:tc>
          <w:tcPr>
            <w:tcW w:w="815" w:type="dxa"/>
          </w:tcPr>
          <w:p w:rsidR="00F83FBF" w:rsidRPr="00C8391B" w:rsidRDefault="00F83FBF" w:rsidP="00F83FBF">
            <w:pPr>
              <w:jc w:val="center"/>
              <w:rPr>
                <w:rFonts w:ascii="Times New Roman" w:eastAsia="Times New Roman" w:hAnsi="Times New Roman" w:cs="Times New Roman"/>
                <w:sz w:val="20"/>
                <w:szCs w:val="20"/>
                <w:lang w:eastAsia="ru-RU"/>
              </w:rPr>
            </w:pPr>
            <w:r w:rsidRPr="00C8391B">
              <w:rPr>
                <w:rFonts w:ascii="Times New Roman" w:eastAsia="Times New Roman" w:hAnsi="Times New Roman" w:cs="Times New Roman"/>
                <w:sz w:val="20"/>
                <w:szCs w:val="20"/>
                <w:lang w:eastAsia="ru-RU"/>
              </w:rPr>
              <w:t>100,0</w:t>
            </w:r>
          </w:p>
        </w:tc>
      </w:tr>
      <w:tr w:rsidR="00F83FBF" w:rsidTr="00F83FBF">
        <w:tc>
          <w:tcPr>
            <w:tcW w:w="709" w:type="dxa"/>
          </w:tcPr>
          <w:p w:rsidR="00F83FBF" w:rsidRPr="00C8391B" w:rsidRDefault="00D47736" w:rsidP="00DB1285">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w:t>
            </w:r>
            <w:r w:rsidR="00DB1285">
              <w:rPr>
                <w:rFonts w:ascii="Times New Roman" w:eastAsia="Times New Roman" w:hAnsi="Times New Roman" w:cs="Times New Roman"/>
                <w:sz w:val="20"/>
                <w:szCs w:val="20"/>
                <w:lang w:eastAsia="ru-RU"/>
              </w:rPr>
              <w:t>2</w:t>
            </w:r>
          </w:p>
        </w:tc>
        <w:tc>
          <w:tcPr>
            <w:tcW w:w="4678" w:type="dxa"/>
          </w:tcPr>
          <w:p w:rsidR="00F83FBF" w:rsidRPr="00C8391B" w:rsidRDefault="00F83FBF" w:rsidP="00F83FBF">
            <w:pPr>
              <w:rPr>
                <w:rFonts w:ascii="Times New Roman" w:eastAsia="Times New Roman" w:hAnsi="Times New Roman" w:cs="Times New Roman"/>
                <w:sz w:val="20"/>
                <w:szCs w:val="20"/>
                <w:lang w:eastAsia="ru-RU"/>
              </w:rPr>
            </w:pPr>
            <w:r w:rsidRPr="00C8391B">
              <w:rPr>
                <w:rFonts w:ascii="Times New Roman" w:eastAsia="Times New Roman" w:hAnsi="Times New Roman" w:cs="Times New Roman"/>
                <w:sz w:val="20"/>
                <w:szCs w:val="20"/>
                <w:lang w:eastAsia="ru-RU"/>
              </w:rPr>
              <w:t>Удельный вес инновационных товаров, работ, услуг в общем объеме отгруженных товаров, выполненных работ, оказанных услуг,  (</w:t>
            </w:r>
            <w:proofErr w:type="gramStart"/>
            <w:r w:rsidRPr="00C8391B">
              <w:rPr>
                <w:rFonts w:ascii="Times New Roman" w:eastAsia="Times New Roman" w:hAnsi="Times New Roman" w:cs="Times New Roman"/>
                <w:sz w:val="20"/>
                <w:szCs w:val="20"/>
                <w:lang w:eastAsia="ru-RU"/>
              </w:rPr>
              <w:t>в</w:t>
            </w:r>
            <w:proofErr w:type="gramEnd"/>
            <w:r w:rsidRPr="00C8391B">
              <w:rPr>
                <w:rFonts w:ascii="Times New Roman" w:eastAsia="Times New Roman" w:hAnsi="Times New Roman" w:cs="Times New Roman"/>
                <w:sz w:val="20"/>
                <w:szCs w:val="20"/>
                <w:lang w:eastAsia="ru-RU"/>
              </w:rPr>
              <w:t xml:space="preserve"> %)</w:t>
            </w:r>
          </w:p>
        </w:tc>
        <w:tc>
          <w:tcPr>
            <w:tcW w:w="1843" w:type="dxa"/>
          </w:tcPr>
          <w:p w:rsidR="00F83FBF" w:rsidRPr="00C8391B" w:rsidRDefault="00F83FBF" w:rsidP="00F83FBF">
            <w:pPr>
              <w:jc w:val="center"/>
              <w:rPr>
                <w:rFonts w:ascii="Times New Roman" w:eastAsia="Times New Roman" w:hAnsi="Times New Roman" w:cs="Times New Roman"/>
                <w:sz w:val="20"/>
                <w:szCs w:val="20"/>
                <w:lang w:eastAsia="ru-RU"/>
              </w:rPr>
            </w:pPr>
            <w:r w:rsidRPr="00C8391B">
              <w:rPr>
                <w:rFonts w:ascii="Times New Roman" w:eastAsia="Times New Roman" w:hAnsi="Times New Roman" w:cs="Times New Roman"/>
                <w:sz w:val="20"/>
                <w:szCs w:val="20"/>
                <w:lang w:eastAsia="ru-RU"/>
              </w:rPr>
              <w:t>3,0</w:t>
            </w:r>
          </w:p>
        </w:tc>
        <w:tc>
          <w:tcPr>
            <w:tcW w:w="1701" w:type="dxa"/>
          </w:tcPr>
          <w:p w:rsidR="00F83FBF" w:rsidRPr="00C8391B" w:rsidRDefault="00F83FBF" w:rsidP="00F83FBF">
            <w:pPr>
              <w:jc w:val="center"/>
              <w:rPr>
                <w:rFonts w:ascii="Times New Roman" w:eastAsia="Times New Roman" w:hAnsi="Times New Roman" w:cs="Times New Roman"/>
                <w:sz w:val="20"/>
                <w:szCs w:val="20"/>
                <w:lang w:eastAsia="ru-RU"/>
              </w:rPr>
            </w:pPr>
            <w:r w:rsidRPr="00C8391B">
              <w:rPr>
                <w:rFonts w:ascii="Times New Roman" w:eastAsia="Times New Roman" w:hAnsi="Times New Roman" w:cs="Times New Roman"/>
                <w:sz w:val="20"/>
                <w:szCs w:val="20"/>
                <w:lang w:eastAsia="ru-RU"/>
              </w:rPr>
              <w:t>0,3</w:t>
            </w:r>
          </w:p>
        </w:tc>
        <w:tc>
          <w:tcPr>
            <w:tcW w:w="815" w:type="dxa"/>
          </w:tcPr>
          <w:p w:rsidR="00F83FBF" w:rsidRPr="00C8391B" w:rsidRDefault="00F83FBF" w:rsidP="00F83FBF">
            <w:pPr>
              <w:jc w:val="center"/>
              <w:rPr>
                <w:rFonts w:ascii="Times New Roman" w:eastAsia="Times New Roman" w:hAnsi="Times New Roman" w:cs="Times New Roman"/>
                <w:sz w:val="20"/>
                <w:szCs w:val="20"/>
                <w:lang w:eastAsia="ru-RU"/>
              </w:rPr>
            </w:pPr>
            <w:r w:rsidRPr="00C8391B">
              <w:rPr>
                <w:rFonts w:ascii="Times New Roman" w:eastAsia="Times New Roman" w:hAnsi="Times New Roman" w:cs="Times New Roman"/>
                <w:sz w:val="20"/>
                <w:szCs w:val="20"/>
                <w:lang w:eastAsia="ru-RU"/>
              </w:rPr>
              <w:t>10,0</w:t>
            </w:r>
          </w:p>
        </w:tc>
      </w:tr>
      <w:tr w:rsidR="00F83FBF" w:rsidTr="00F83FBF">
        <w:tc>
          <w:tcPr>
            <w:tcW w:w="709" w:type="dxa"/>
          </w:tcPr>
          <w:p w:rsidR="00F83FBF" w:rsidRPr="00C8391B" w:rsidRDefault="00D47736" w:rsidP="00DB1285">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w:t>
            </w:r>
            <w:r w:rsidR="00DB1285">
              <w:rPr>
                <w:rFonts w:ascii="Times New Roman" w:eastAsia="Times New Roman" w:hAnsi="Times New Roman" w:cs="Times New Roman"/>
                <w:sz w:val="20"/>
                <w:szCs w:val="20"/>
                <w:lang w:eastAsia="ru-RU"/>
              </w:rPr>
              <w:t>3</w:t>
            </w:r>
          </w:p>
        </w:tc>
        <w:tc>
          <w:tcPr>
            <w:tcW w:w="4678" w:type="dxa"/>
          </w:tcPr>
          <w:p w:rsidR="00F83FBF" w:rsidRPr="00C8391B" w:rsidRDefault="00F83FBF" w:rsidP="00F83FBF">
            <w:pPr>
              <w:rPr>
                <w:rFonts w:ascii="Times New Roman" w:eastAsia="Times New Roman" w:hAnsi="Times New Roman" w:cs="Times New Roman"/>
                <w:sz w:val="20"/>
                <w:szCs w:val="20"/>
                <w:lang w:eastAsia="ru-RU"/>
              </w:rPr>
            </w:pPr>
            <w:r w:rsidRPr="00C8391B">
              <w:rPr>
                <w:rFonts w:ascii="Times New Roman" w:eastAsia="Times New Roman" w:hAnsi="Times New Roman" w:cs="Times New Roman"/>
                <w:sz w:val="20"/>
                <w:szCs w:val="20"/>
                <w:lang w:eastAsia="ru-RU"/>
              </w:rPr>
              <w:t>Доля среднесписочной численности занятых на малых и средних предприятиях в общей численности работающих, (%)  &lt;6&gt;</w:t>
            </w:r>
          </w:p>
        </w:tc>
        <w:tc>
          <w:tcPr>
            <w:tcW w:w="1843" w:type="dxa"/>
          </w:tcPr>
          <w:p w:rsidR="00F83FBF" w:rsidRPr="00C8391B" w:rsidRDefault="00F83FBF" w:rsidP="00F83FBF">
            <w:pPr>
              <w:jc w:val="center"/>
              <w:rPr>
                <w:rFonts w:ascii="Times New Roman" w:eastAsia="Times New Roman" w:hAnsi="Times New Roman" w:cs="Times New Roman"/>
                <w:sz w:val="20"/>
                <w:szCs w:val="20"/>
                <w:lang w:eastAsia="ru-RU"/>
              </w:rPr>
            </w:pPr>
            <w:r w:rsidRPr="00C8391B">
              <w:rPr>
                <w:rFonts w:ascii="Times New Roman" w:eastAsia="Times New Roman" w:hAnsi="Times New Roman" w:cs="Times New Roman"/>
                <w:sz w:val="20"/>
                <w:szCs w:val="20"/>
                <w:lang w:eastAsia="ru-RU"/>
              </w:rPr>
              <w:t>18,2</w:t>
            </w:r>
          </w:p>
        </w:tc>
        <w:tc>
          <w:tcPr>
            <w:tcW w:w="1701" w:type="dxa"/>
          </w:tcPr>
          <w:p w:rsidR="00F83FBF" w:rsidRPr="00C8391B" w:rsidRDefault="00F83FBF" w:rsidP="00F83FBF">
            <w:pPr>
              <w:jc w:val="center"/>
              <w:rPr>
                <w:rFonts w:ascii="Times New Roman" w:eastAsia="Times New Roman" w:hAnsi="Times New Roman" w:cs="Times New Roman"/>
                <w:sz w:val="20"/>
                <w:szCs w:val="20"/>
                <w:lang w:eastAsia="ru-RU"/>
              </w:rPr>
            </w:pPr>
            <w:r w:rsidRPr="00C8391B">
              <w:rPr>
                <w:rFonts w:ascii="Times New Roman" w:eastAsia="Times New Roman" w:hAnsi="Times New Roman" w:cs="Times New Roman"/>
                <w:sz w:val="20"/>
                <w:szCs w:val="20"/>
                <w:lang w:eastAsia="ru-RU"/>
              </w:rPr>
              <w:t>15,6</w:t>
            </w:r>
          </w:p>
        </w:tc>
        <w:tc>
          <w:tcPr>
            <w:tcW w:w="815" w:type="dxa"/>
          </w:tcPr>
          <w:p w:rsidR="00F83FBF" w:rsidRPr="00C8391B" w:rsidRDefault="00F83FBF" w:rsidP="00F83FBF">
            <w:pPr>
              <w:jc w:val="center"/>
              <w:rPr>
                <w:rFonts w:ascii="Times New Roman" w:eastAsia="Times New Roman" w:hAnsi="Times New Roman" w:cs="Times New Roman"/>
                <w:sz w:val="20"/>
                <w:szCs w:val="20"/>
                <w:lang w:eastAsia="ru-RU"/>
              </w:rPr>
            </w:pPr>
            <w:r w:rsidRPr="00C8391B">
              <w:rPr>
                <w:rFonts w:ascii="Times New Roman" w:eastAsia="Times New Roman" w:hAnsi="Times New Roman" w:cs="Times New Roman"/>
                <w:sz w:val="20"/>
                <w:szCs w:val="20"/>
                <w:lang w:eastAsia="ru-RU"/>
              </w:rPr>
              <w:t>85,7</w:t>
            </w:r>
          </w:p>
        </w:tc>
      </w:tr>
      <w:tr w:rsidR="00F83FBF" w:rsidTr="00F83FBF">
        <w:tc>
          <w:tcPr>
            <w:tcW w:w="709" w:type="dxa"/>
          </w:tcPr>
          <w:p w:rsidR="00F83FBF" w:rsidRPr="00C8391B" w:rsidRDefault="00D47736" w:rsidP="00DB1285">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w:t>
            </w:r>
            <w:r w:rsidR="00DB1285">
              <w:rPr>
                <w:rFonts w:ascii="Times New Roman" w:eastAsia="Times New Roman" w:hAnsi="Times New Roman" w:cs="Times New Roman"/>
                <w:sz w:val="20"/>
                <w:szCs w:val="20"/>
                <w:lang w:eastAsia="ru-RU"/>
              </w:rPr>
              <w:t>4</w:t>
            </w:r>
          </w:p>
        </w:tc>
        <w:tc>
          <w:tcPr>
            <w:tcW w:w="4678" w:type="dxa"/>
          </w:tcPr>
          <w:p w:rsidR="00DC286C" w:rsidRPr="00C8391B" w:rsidRDefault="00F83FBF" w:rsidP="001D5548">
            <w:pPr>
              <w:rPr>
                <w:rFonts w:ascii="Times New Roman" w:eastAsia="Times New Roman" w:hAnsi="Times New Roman" w:cs="Times New Roman"/>
                <w:sz w:val="20"/>
                <w:szCs w:val="20"/>
                <w:lang w:eastAsia="ru-RU"/>
              </w:rPr>
            </w:pPr>
            <w:r w:rsidRPr="00C8391B">
              <w:rPr>
                <w:rFonts w:ascii="Times New Roman" w:eastAsia="Times New Roman" w:hAnsi="Times New Roman" w:cs="Times New Roman"/>
                <w:sz w:val="20"/>
                <w:szCs w:val="20"/>
                <w:lang w:eastAsia="ru-RU"/>
              </w:rPr>
              <w:t>Доля оборота малого и среднего предпринимательства в ВРП</w:t>
            </w:r>
            <w:proofErr w:type="gramStart"/>
            <w:r w:rsidRPr="00C8391B">
              <w:rPr>
                <w:rFonts w:ascii="Times New Roman" w:eastAsia="Times New Roman" w:hAnsi="Times New Roman" w:cs="Times New Roman"/>
                <w:sz w:val="20"/>
                <w:szCs w:val="20"/>
                <w:lang w:eastAsia="ru-RU"/>
              </w:rPr>
              <w:t>, (%)</w:t>
            </w:r>
            <w:proofErr w:type="gramEnd"/>
          </w:p>
        </w:tc>
        <w:tc>
          <w:tcPr>
            <w:tcW w:w="1843" w:type="dxa"/>
          </w:tcPr>
          <w:p w:rsidR="00F83FBF" w:rsidRPr="00C8391B" w:rsidRDefault="00F83FBF" w:rsidP="00F83FBF">
            <w:pPr>
              <w:jc w:val="center"/>
              <w:rPr>
                <w:rFonts w:ascii="Times New Roman" w:eastAsia="Times New Roman" w:hAnsi="Times New Roman" w:cs="Times New Roman"/>
                <w:sz w:val="20"/>
                <w:szCs w:val="20"/>
                <w:lang w:eastAsia="ru-RU"/>
              </w:rPr>
            </w:pPr>
            <w:r w:rsidRPr="00C8391B">
              <w:rPr>
                <w:rFonts w:ascii="Times New Roman" w:eastAsia="Times New Roman" w:hAnsi="Times New Roman" w:cs="Times New Roman"/>
                <w:sz w:val="20"/>
                <w:szCs w:val="20"/>
                <w:lang w:eastAsia="ru-RU"/>
              </w:rPr>
              <w:t>18,3</w:t>
            </w:r>
          </w:p>
        </w:tc>
        <w:tc>
          <w:tcPr>
            <w:tcW w:w="1701" w:type="dxa"/>
          </w:tcPr>
          <w:p w:rsidR="00F83FBF" w:rsidRPr="00C8391B" w:rsidRDefault="00F83FBF" w:rsidP="00F83FBF">
            <w:pPr>
              <w:jc w:val="center"/>
              <w:rPr>
                <w:rFonts w:ascii="Times New Roman" w:eastAsia="Times New Roman" w:hAnsi="Times New Roman" w:cs="Times New Roman"/>
                <w:sz w:val="20"/>
                <w:szCs w:val="20"/>
                <w:lang w:eastAsia="ru-RU"/>
              </w:rPr>
            </w:pPr>
            <w:r w:rsidRPr="00C8391B">
              <w:rPr>
                <w:rFonts w:ascii="Times New Roman" w:eastAsia="Times New Roman" w:hAnsi="Times New Roman" w:cs="Times New Roman"/>
                <w:sz w:val="20"/>
                <w:szCs w:val="20"/>
                <w:lang w:eastAsia="ru-RU"/>
              </w:rPr>
              <w:t>14,2</w:t>
            </w:r>
          </w:p>
        </w:tc>
        <w:tc>
          <w:tcPr>
            <w:tcW w:w="815" w:type="dxa"/>
          </w:tcPr>
          <w:p w:rsidR="00F83FBF" w:rsidRPr="00C8391B" w:rsidRDefault="00F83FBF" w:rsidP="00F83FBF">
            <w:pPr>
              <w:jc w:val="center"/>
              <w:rPr>
                <w:rFonts w:ascii="Times New Roman" w:eastAsia="Times New Roman" w:hAnsi="Times New Roman" w:cs="Times New Roman"/>
                <w:sz w:val="20"/>
                <w:szCs w:val="20"/>
                <w:lang w:eastAsia="ru-RU"/>
              </w:rPr>
            </w:pPr>
            <w:r w:rsidRPr="00C8391B">
              <w:rPr>
                <w:rFonts w:ascii="Times New Roman" w:eastAsia="Times New Roman" w:hAnsi="Times New Roman" w:cs="Times New Roman"/>
                <w:sz w:val="20"/>
                <w:szCs w:val="20"/>
                <w:lang w:eastAsia="ru-RU"/>
              </w:rPr>
              <w:t>77,6</w:t>
            </w:r>
          </w:p>
        </w:tc>
      </w:tr>
      <w:tr w:rsidR="00F83FBF" w:rsidTr="00F83FBF">
        <w:tc>
          <w:tcPr>
            <w:tcW w:w="9746" w:type="dxa"/>
            <w:gridSpan w:val="5"/>
          </w:tcPr>
          <w:p w:rsidR="00F83FBF" w:rsidRPr="00C8391B" w:rsidRDefault="00F83FBF" w:rsidP="002C50AB">
            <w:pPr>
              <w:jc w:val="center"/>
              <w:rPr>
                <w:rFonts w:ascii="Times New Roman" w:eastAsia="Times New Roman" w:hAnsi="Times New Roman" w:cs="Times New Roman"/>
                <w:sz w:val="20"/>
                <w:szCs w:val="20"/>
                <w:lang w:eastAsia="ru-RU"/>
              </w:rPr>
            </w:pPr>
            <w:r w:rsidRPr="004E5ED1">
              <w:rPr>
                <w:rFonts w:ascii="Times New Roman" w:eastAsia="Times New Roman" w:hAnsi="Times New Roman" w:cs="Times New Roman"/>
                <w:b/>
                <w:bCs/>
                <w:sz w:val="24"/>
                <w:szCs w:val="24"/>
                <w:lang w:eastAsia="ru-RU"/>
              </w:rPr>
              <w:t>Макроэкономические показатели</w:t>
            </w:r>
          </w:p>
        </w:tc>
      </w:tr>
      <w:tr w:rsidR="00F83FBF" w:rsidTr="00F83FBF">
        <w:tc>
          <w:tcPr>
            <w:tcW w:w="709" w:type="dxa"/>
          </w:tcPr>
          <w:p w:rsidR="00F83FBF" w:rsidRPr="00C8391B" w:rsidRDefault="00D47736" w:rsidP="00DB1285">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w:t>
            </w:r>
            <w:r w:rsidR="00DB1285">
              <w:rPr>
                <w:rFonts w:ascii="Times New Roman" w:eastAsia="Times New Roman" w:hAnsi="Times New Roman" w:cs="Times New Roman"/>
                <w:sz w:val="20"/>
                <w:szCs w:val="20"/>
                <w:lang w:eastAsia="ru-RU"/>
              </w:rPr>
              <w:t>5</w:t>
            </w:r>
          </w:p>
        </w:tc>
        <w:tc>
          <w:tcPr>
            <w:tcW w:w="4678" w:type="dxa"/>
          </w:tcPr>
          <w:p w:rsidR="00F83FBF" w:rsidRPr="00C8391B" w:rsidRDefault="00F83FBF" w:rsidP="00F83FBF">
            <w:pPr>
              <w:rPr>
                <w:rFonts w:ascii="Times New Roman" w:eastAsia="Times New Roman" w:hAnsi="Times New Roman" w:cs="Times New Roman"/>
                <w:color w:val="000000"/>
                <w:sz w:val="20"/>
                <w:szCs w:val="20"/>
                <w:lang w:eastAsia="ru-RU"/>
              </w:rPr>
            </w:pPr>
            <w:r w:rsidRPr="00C8391B">
              <w:rPr>
                <w:rFonts w:ascii="Times New Roman" w:eastAsia="Times New Roman" w:hAnsi="Times New Roman" w:cs="Times New Roman"/>
                <w:color w:val="000000"/>
                <w:sz w:val="20"/>
                <w:szCs w:val="20"/>
                <w:lang w:eastAsia="ru-RU"/>
              </w:rPr>
              <w:t>Индекс производительности труда, (%) &lt;3&gt;, &lt;4&gt;</w:t>
            </w:r>
          </w:p>
        </w:tc>
        <w:tc>
          <w:tcPr>
            <w:tcW w:w="1843" w:type="dxa"/>
          </w:tcPr>
          <w:p w:rsidR="00F83FBF" w:rsidRPr="00C8391B" w:rsidRDefault="00F83FBF" w:rsidP="00F83FBF">
            <w:pPr>
              <w:jc w:val="center"/>
              <w:rPr>
                <w:rFonts w:ascii="Times New Roman" w:eastAsia="Times New Roman" w:hAnsi="Times New Roman" w:cs="Times New Roman"/>
                <w:sz w:val="20"/>
                <w:szCs w:val="20"/>
                <w:lang w:eastAsia="ru-RU"/>
              </w:rPr>
            </w:pPr>
            <w:r w:rsidRPr="00C8391B">
              <w:rPr>
                <w:rFonts w:ascii="Times New Roman" w:eastAsia="Times New Roman" w:hAnsi="Times New Roman" w:cs="Times New Roman"/>
                <w:sz w:val="20"/>
                <w:szCs w:val="20"/>
                <w:lang w:eastAsia="ru-RU"/>
              </w:rPr>
              <w:t>108,5</w:t>
            </w:r>
          </w:p>
        </w:tc>
        <w:tc>
          <w:tcPr>
            <w:tcW w:w="1701" w:type="dxa"/>
          </w:tcPr>
          <w:p w:rsidR="00F83FBF" w:rsidRPr="00C8391B" w:rsidRDefault="00F83FBF" w:rsidP="00F83FBF">
            <w:pPr>
              <w:jc w:val="center"/>
              <w:rPr>
                <w:rFonts w:ascii="Times New Roman" w:eastAsia="Times New Roman" w:hAnsi="Times New Roman" w:cs="Times New Roman"/>
                <w:sz w:val="20"/>
                <w:szCs w:val="20"/>
                <w:lang w:eastAsia="ru-RU"/>
              </w:rPr>
            </w:pPr>
            <w:r w:rsidRPr="00C8391B">
              <w:rPr>
                <w:rFonts w:ascii="Times New Roman" w:eastAsia="Times New Roman" w:hAnsi="Times New Roman" w:cs="Times New Roman"/>
                <w:sz w:val="20"/>
                <w:szCs w:val="20"/>
                <w:lang w:eastAsia="ru-RU"/>
              </w:rPr>
              <w:t>108,5</w:t>
            </w:r>
          </w:p>
        </w:tc>
        <w:tc>
          <w:tcPr>
            <w:tcW w:w="815" w:type="dxa"/>
          </w:tcPr>
          <w:p w:rsidR="00F83FBF" w:rsidRPr="00C8391B" w:rsidRDefault="00F83FBF" w:rsidP="00F83FBF">
            <w:pPr>
              <w:jc w:val="center"/>
              <w:rPr>
                <w:rFonts w:ascii="Times New Roman" w:eastAsia="Times New Roman" w:hAnsi="Times New Roman" w:cs="Times New Roman"/>
                <w:sz w:val="20"/>
                <w:szCs w:val="20"/>
                <w:lang w:eastAsia="ru-RU"/>
              </w:rPr>
            </w:pPr>
            <w:r w:rsidRPr="00C8391B">
              <w:rPr>
                <w:rFonts w:ascii="Times New Roman" w:eastAsia="Times New Roman" w:hAnsi="Times New Roman" w:cs="Times New Roman"/>
                <w:sz w:val="20"/>
                <w:szCs w:val="20"/>
                <w:lang w:eastAsia="ru-RU"/>
              </w:rPr>
              <w:t>100,0</w:t>
            </w:r>
          </w:p>
        </w:tc>
      </w:tr>
      <w:tr w:rsidR="00F83FBF" w:rsidTr="00F83FBF">
        <w:tc>
          <w:tcPr>
            <w:tcW w:w="709" w:type="dxa"/>
          </w:tcPr>
          <w:p w:rsidR="00F83FBF" w:rsidRPr="00C8391B" w:rsidRDefault="00D47736" w:rsidP="00DB1285">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w:t>
            </w:r>
            <w:r w:rsidR="00DB1285">
              <w:rPr>
                <w:rFonts w:ascii="Times New Roman" w:eastAsia="Times New Roman" w:hAnsi="Times New Roman" w:cs="Times New Roman"/>
                <w:sz w:val="20"/>
                <w:szCs w:val="20"/>
                <w:lang w:eastAsia="ru-RU"/>
              </w:rPr>
              <w:t>6</w:t>
            </w:r>
          </w:p>
        </w:tc>
        <w:tc>
          <w:tcPr>
            <w:tcW w:w="4678" w:type="dxa"/>
          </w:tcPr>
          <w:p w:rsidR="00F83FBF" w:rsidRPr="00C8391B" w:rsidRDefault="00F83FBF" w:rsidP="00F83FBF">
            <w:pPr>
              <w:rPr>
                <w:rFonts w:ascii="Times New Roman" w:eastAsia="Times New Roman" w:hAnsi="Times New Roman" w:cs="Times New Roman"/>
                <w:color w:val="000000"/>
                <w:sz w:val="20"/>
                <w:szCs w:val="20"/>
                <w:lang w:eastAsia="ru-RU"/>
              </w:rPr>
            </w:pPr>
            <w:r w:rsidRPr="00C8391B">
              <w:rPr>
                <w:rFonts w:ascii="Times New Roman" w:eastAsia="Times New Roman" w:hAnsi="Times New Roman" w:cs="Times New Roman"/>
                <w:color w:val="000000"/>
                <w:sz w:val="20"/>
                <w:szCs w:val="20"/>
                <w:lang w:eastAsia="ru-RU"/>
              </w:rPr>
              <w:t>Реальная среднемесячная заработная плата работников, (%) &lt;7&gt;</w:t>
            </w:r>
          </w:p>
        </w:tc>
        <w:tc>
          <w:tcPr>
            <w:tcW w:w="1843" w:type="dxa"/>
          </w:tcPr>
          <w:p w:rsidR="00F83FBF" w:rsidRPr="00C8391B" w:rsidRDefault="00F83FBF" w:rsidP="00F83FBF">
            <w:pPr>
              <w:jc w:val="center"/>
              <w:rPr>
                <w:rFonts w:ascii="Times New Roman" w:eastAsia="Times New Roman" w:hAnsi="Times New Roman" w:cs="Times New Roman"/>
                <w:sz w:val="20"/>
                <w:szCs w:val="20"/>
                <w:lang w:eastAsia="ru-RU"/>
              </w:rPr>
            </w:pPr>
            <w:r w:rsidRPr="00C8391B">
              <w:rPr>
                <w:rFonts w:ascii="Times New Roman" w:eastAsia="Times New Roman" w:hAnsi="Times New Roman" w:cs="Times New Roman"/>
                <w:sz w:val="20"/>
                <w:szCs w:val="20"/>
                <w:lang w:eastAsia="ru-RU"/>
              </w:rPr>
              <w:t>101,8</w:t>
            </w:r>
          </w:p>
        </w:tc>
        <w:tc>
          <w:tcPr>
            <w:tcW w:w="1701" w:type="dxa"/>
          </w:tcPr>
          <w:p w:rsidR="00F83FBF" w:rsidRPr="00C8391B" w:rsidRDefault="00F83FBF" w:rsidP="00F83FBF">
            <w:pPr>
              <w:jc w:val="center"/>
              <w:rPr>
                <w:rFonts w:ascii="Times New Roman" w:eastAsia="Times New Roman" w:hAnsi="Times New Roman" w:cs="Times New Roman"/>
                <w:sz w:val="20"/>
                <w:szCs w:val="20"/>
                <w:lang w:eastAsia="ru-RU"/>
              </w:rPr>
            </w:pPr>
            <w:r w:rsidRPr="00C8391B">
              <w:rPr>
                <w:rFonts w:ascii="Times New Roman" w:eastAsia="Times New Roman" w:hAnsi="Times New Roman" w:cs="Times New Roman"/>
                <w:sz w:val="20"/>
                <w:szCs w:val="20"/>
                <w:lang w:eastAsia="ru-RU"/>
              </w:rPr>
              <w:t>90,5</w:t>
            </w:r>
          </w:p>
        </w:tc>
        <w:tc>
          <w:tcPr>
            <w:tcW w:w="815" w:type="dxa"/>
          </w:tcPr>
          <w:p w:rsidR="00F83FBF" w:rsidRPr="00C8391B" w:rsidRDefault="00F83FBF" w:rsidP="00F83FBF">
            <w:pPr>
              <w:jc w:val="center"/>
              <w:rPr>
                <w:rFonts w:ascii="Times New Roman" w:eastAsia="Times New Roman" w:hAnsi="Times New Roman" w:cs="Times New Roman"/>
                <w:sz w:val="20"/>
                <w:szCs w:val="20"/>
                <w:lang w:eastAsia="ru-RU"/>
              </w:rPr>
            </w:pPr>
            <w:r w:rsidRPr="00C8391B">
              <w:rPr>
                <w:rFonts w:ascii="Times New Roman" w:eastAsia="Times New Roman" w:hAnsi="Times New Roman" w:cs="Times New Roman"/>
                <w:sz w:val="20"/>
                <w:szCs w:val="20"/>
                <w:lang w:eastAsia="ru-RU"/>
              </w:rPr>
              <w:t>88,9</w:t>
            </w:r>
          </w:p>
        </w:tc>
      </w:tr>
      <w:tr w:rsidR="00F83FBF" w:rsidTr="00F83FBF">
        <w:tc>
          <w:tcPr>
            <w:tcW w:w="709" w:type="dxa"/>
          </w:tcPr>
          <w:p w:rsidR="00F83FBF" w:rsidRPr="00C8391B" w:rsidRDefault="00D47736" w:rsidP="00DB1285">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w:t>
            </w:r>
            <w:r w:rsidR="00DB1285">
              <w:rPr>
                <w:rFonts w:ascii="Times New Roman" w:eastAsia="Times New Roman" w:hAnsi="Times New Roman" w:cs="Times New Roman"/>
                <w:sz w:val="20"/>
                <w:szCs w:val="20"/>
                <w:lang w:eastAsia="ru-RU"/>
              </w:rPr>
              <w:t>7</w:t>
            </w:r>
          </w:p>
        </w:tc>
        <w:tc>
          <w:tcPr>
            <w:tcW w:w="4678" w:type="dxa"/>
          </w:tcPr>
          <w:p w:rsidR="00F83FBF" w:rsidRPr="00C8391B" w:rsidRDefault="00F83FBF" w:rsidP="00F83FBF">
            <w:pPr>
              <w:rPr>
                <w:rFonts w:ascii="Times New Roman" w:eastAsia="Times New Roman" w:hAnsi="Times New Roman" w:cs="Times New Roman"/>
                <w:color w:val="000000"/>
                <w:sz w:val="20"/>
                <w:szCs w:val="20"/>
                <w:lang w:eastAsia="ru-RU"/>
              </w:rPr>
            </w:pPr>
            <w:r w:rsidRPr="00C8391B">
              <w:rPr>
                <w:rFonts w:ascii="Times New Roman" w:eastAsia="Times New Roman" w:hAnsi="Times New Roman" w:cs="Times New Roman"/>
                <w:color w:val="000000"/>
                <w:sz w:val="20"/>
                <w:szCs w:val="20"/>
                <w:lang w:eastAsia="ru-RU"/>
              </w:rPr>
              <w:t>Прирост высокопроизводительных рабочих мест, (%) &lt;1&gt;, &lt;3&gt;, &lt;4&gt;</w:t>
            </w:r>
          </w:p>
        </w:tc>
        <w:tc>
          <w:tcPr>
            <w:tcW w:w="1843" w:type="dxa"/>
          </w:tcPr>
          <w:p w:rsidR="00F83FBF" w:rsidRPr="00C8391B" w:rsidRDefault="00F83FBF" w:rsidP="00F83FBF">
            <w:pPr>
              <w:jc w:val="center"/>
              <w:rPr>
                <w:rFonts w:ascii="Times New Roman" w:eastAsia="Times New Roman" w:hAnsi="Times New Roman" w:cs="Times New Roman"/>
                <w:sz w:val="20"/>
                <w:szCs w:val="20"/>
                <w:lang w:eastAsia="ru-RU"/>
              </w:rPr>
            </w:pPr>
            <w:r w:rsidRPr="00C8391B">
              <w:rPr>
                <w:rFonts w:ascii="Times New Roman" w:eastAsia="Times New Roman" w:hAnsi="Times New Roman" w:cs="Times New Roman"/>
                <w:sz w:val="20"/>
                <w:szCs w:val="20"/>
                <w:lang w:eastAsia="ru-RU"/>
              </w:rPr>
              <w:t>6,0</w:t>
            </w:r>
          </w:p>
        </w:tc>
        <w:tc>
          <w:tcPr>
            <w:tcW w:w="1701" w:type="dxa"/>
          </w:tcPr>
          <w:p w:rsidR="00F83FBF" w:rsidRPr="00C8391B" w:rsidRDefault="00F83FBF" w:rsidP="00F83FBF">
            <w:pPr>
              <w:jc w:val="center"/>
              <w:rPr>
                <w:rFonts w:ascii="Times New Roman" w:eastAsia="Times New Roman" w:hAnsi="Times New Roman" w:cs="Times New Roman"/>
                <w:sz w:val="20"/>
                <w:szCs w:val="20"/>
                <w:lang w:eastAsia="ru-RU"/>
              </w:rPr>
            </w:pPr>
            <w:r w:rsidRPr="00C8391B">
              <w:rPr>
                <w:rFonts w:ascii="Times New Roman" w:eastAsia="Times New Roman" w:hAnsi="Times New Roman" w:cs="Times New Roman"/>
                <w:sz w:val="20"/>
                <w:szCs w:val="20"/>
                <w:lang w:eastAsia="ru-RU"/>
              </w:rPr>
              <w:t>-7,1</w:t>
            </w:r>
          </w:p>
        </w:tc>
        <w:tc>
          <w:tcPr>
            <w:tcW w:w="815" w:type="dxa"/>
          </w:tcPr>
          <w:p w:rsidR="00F83FBF" w:rsidRPr="00C8391B" w:rsidRDefault="00F83FBF" w:rsidP="00F83FBF">
            <w:pPr>
              <w:jc w:val="center"/>
              <w:rPr>
                <w:rFonts w:ascii="Times New Roman" w:eastAsia="Times New Roman" w:hAnsi="Times New Roman" w:cs="Times New Roman"/>
                <w:sz w:val="20"/>
                <w:szCs w:val="20"/>
                <w:lang w:eastAsia="ru-RU"/>
              </w:rPr>
            </w:pPr>
            <w:r w:rsidRPr="00C8391B">
              <w:rPr>
                <w:rFonts w:ascii="Times New Roman" w:eastAsia="Times New Roman" w:hAnsi="Times New Roman" w:cs="Times New Roman"/>
                <w:sz w:val="20"/>
                <w:szCs w:val="20"/>
                <w:lang w:eastAsia="ru-RU"/>
              </w:rPr>
              <w:t>0,0</w:t>
            </w:r>
          </w:p>
        </w:tc>
      </w:tr>
      <w:tr w:rsidR="00F83FBF" w:rsidTr="00F83FBF">
        <w:tc>
          <w:tcPr>
            <w:tcW w:w="709" w:type="dxa"/>
          </w:tcPr>
          <w:p w:rsidR="00F83FBF" w:rsidRPr="00C8391B" w:rsidRDefault="00D47736" w:rsidP="00DB1285">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w:t>
            </w:r>
            <w:r w:rsidR="00DB1285">
              <w:rPr>
                <w:rFonts w:ascii="Times New Roman" w:eastAsia="Times New Roman" w:hAnsi="Times New Roman" w:cs="Times New Roman"/>
                <w:sz w:val="20"/>
                <w:szCs w:val="20"/>
                <w:lang w:eastAsia="ru-RU"/>
              </w:rPr>
              <w:t>8</w:t>
            </w:r>
          </w:p>
        </w:tc>
        <w:tc>
          <w:tcPr>
            <w:tcW w:w="4678" w:type="dxa"/>
          </w:tcPr>
          <w:p w:rsidR="00F83FBF" w:rsidRPr="00C8391B" w:rsidRDefault="00F83FBF" w:rsidP="00F83FBF">
            <w:pPr>
              <w:rPr>
                <w:rFonts w:ascii="Times New Roman" w:eastAsia="Times New Roman" w:hAnsi="Times New Roman" w:cs="Times New Roman"/>
                <w:color w:val="000000"/>
                <w:sz w:val="20"/>
                <w:szCs w:val="20"/>
                <w:lang w:eastAsia="ru-RU"/>
              </w:rPr>
            </w:pPr>
            <w:r w:rsidRPr="00C8391B">
              <w:rPr>
                <w:rFonts w:ascii="Times New Roman" w:eastAsia="Times New Roman" w:hAnsi="Times New Roman" w:cs="Times New Roman"/>
                <w:color w:val="000000"/>
                <w:sz w:val="20"/>
                <w:szCs w:val="20"/>
                <w:lang w:eastAsia="ru-RU"/>
              </w:rPr>
              <w:t>Доля высокопроизводительных рабочих мест в среднегодовой численности занятого населения, % к предыдущему году &lt;1&gt;</w:t>
            </w:r>
          </w:p>
        </w:tc>
        <w:tc>
          <w:tcPr>
            <w:tcW w:w="1843" w:type="dxa"/>
          </w:tcPr>
          <w:p w:rsidR="00F83FBF" w:rsidRPr="00C8391B" w:rsidRDefault="00F83FBF" w:rsidP="00F83FBF">
            <w:pPr>
              <w:jc w:val="center"/>
              <w:rPr>
                <w:rFonts w:ascii="Times New Roman" w:eastAsia="Times New Roman" w:hAnsi="Times New Roman" w:cs="Times New Roman"/>
                <w:sz w:val="20"/>
                <w:szCs w:val="20"/>
                <w:lang w:eastAsia="ru-RU"/>
              </w:rPr>
            </w:pPr>
            <w:r w:rsidRPr="00C8391B">
              <w:rPr>
                <w:rFonts w:ascii="Times New Roman" w:eastAsia="Times New Roman" w:hAnsi="Times New Roman" w:cs="Times New Roman"/>
                <w:sz w:val="20"/>
                <w:szCs w:val="20"/>
                <w:lang w:eastAsia="ru-RU"/>
              </w:rPr>
              <w:t>54,4</w:t>
            </w:r>
          </w:p>
        </w:tc>
        <w:tc>
          <w:tcPr>
            <w:tcW w:w="1701" w:type="dxa"/>
          </w:tcPr>
          <w:p w:rsidR="00F83FBF" w:rsidRPr="00C8391B" w:rsidRDefault="00F83FBF" w:rsidP="00F83FBF">
            <w:pPr>
              <w:jc w:val="center"/>
              <w:rPr>
                <w:rFonts w:ascii="Times New Roman" w:eastAsia="Times New Roman" w:hAnsi="Times New Roman" w:cs="Times New Roman"/>
                <w:sz w:val="20"/>
                <w:szCs w:val="20"/>
                <w:lang w:eastAsia="ru-RU"/>
              </w:rPr>
            </w:pPr>
            <w:r w:rsidRPr="00C8391B">
              <w:rPr>
                <w:rFonts w:ascii="Times New Roman" w:eastAsia="Times New Roman" w:hAnsi="Times New Roman" w:cs="Times New Roman"/>
                <w:sz w:val="20"/>
                <w:szCs w:val="20"/>
                <w:lang w:eastAsia="ru-RU"/>
              </w:rPr>
              <w:t>54,4</w:t>
            </w:r>
          </w:p>
        </w:tc>
        <w:tc>
          <w:tcPr>
            <w:tcW w:w="815" w:type="dxa"/>
          </w:tcPr>
          <w:p w:rsidR="00F83FBF" w:rsidRPr="00C8391B" w:rsidRDefault="00F83FBF" w:rsidP="00F83FBF">
            <w:pPr>
              <w:jc w:val="center"/>
              <w:rPr>
                <w:rFonts w:ascii="Times New Roman" w:eastAsia="Times New Roman" w:hAnsi="Times New Roman" w:cs="Times New Roman"/>
                <w:sz w:val="20"/>
                <w:szCs w:val="20"/>
                <w:lang w:eastAsia="ru-RU"/>
              </w:rPr>
            </w:pPr>
            <w:r w:rsidRPr="00C8391B">
              <w:rPr>
                <w:rFonts w:ascii="Times New Roman" w:eastAsia="Times New Roman" w:hAnsi="Times New Roman" w:cs="Times New Roman"/>
                <w:sz w:val="20"/>
                <w:szCs w:val="20"/>
                <w:lang w:eastAsia="ru-RU"/>
              </w:rPr>
              <w:t>100,0</w:t>
            </w:r>
          </w:p>
        </w:tc>
      </w:tr>
      <w:tr w:rsidR="00F83FBF" w:rsidTr="00F83FBF">
        <w:tc>
          <w:tcPr>
            <w:tcW w:w="709" w:type="dxa"/>
          </w:tcPr>
          <w:p w:rsidR="00F83FBF" w:rsidRPr="00C8391B" w:rsidRDefault="00DB1285" w:rsidP="00F83FBF">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39</w:t>
            </w:r>
          </w:p>
        </w:tc>
        <w:tc>
          <w:tcPr>
            <w:tcW w:w="4678" w:type="dxa"/>
          </w:tcPr>
          <w:p w:rsidR="00F83FBF" w:rsidRPr="00C8391B" w:rsidRDefault="00F83FBF" w:rsidP="00F83FBF">
            <w:pPr>
              <w:rPr>
                <w:rFonts w:ascii="Times New Roman" w:eastAsia="Times New Roman" w:hAnsi="Times New Roman" w:cs="Times New Roman"/>
                <w:color w:val="000000"/>
                <w:sz w:val="20"/>
                <w:szCs w:val="20"/>
                <w:lang w:eastAsia="ru-RU"/>
              </w:rPr>
            </w:pPr>
            <w:r w:rsidRPr="00C8391B">
              <w:rPr>
                <w:rFonts w:ascii="Times New Roman" w:eastAsia="Times New Roman" w:hAnsi="Times New Roman" w:cs="Times New Roman"/>
                <w:color w:val="000000"/>
                <w:sz w:val="20"/>
                <w:szCs w:val="20"/>
                <w:lang w:eastAsia="ru-RU"/>
              </w:rPr>
              <w:t>Доля продукции высокотехнологичных и наукоемких отраслей в ВРП, (%) &lt;3&gt;, &lt;4&gt;</w:t>
            </w:r>
          </w:p>
        </w:tc>
        <w:tc>
          <w:tcPr>
            <w:tcW w:w="1843" w:type="dxa"/>
          </w:tcPr>
          <w:p w:rsidR="00F83FBF" w:rsidRPr="00C8391B" w:rsidRDefault="00F83FBF" w:rsidP="00F83FBF">
            <w:pPr>
              <w:jc w:val="center"/>
              <w:rPr>
                <w:rFonts w:ascii="Times New Roman" w:eastAsia="Times New Roman" w:hAnsi="Times New Roman" w:cs="Times New Roman"/>
                <w:sz w:val="20"/>
                <w:szCs w:val="20"/>
                <w:lang w:eastAsia="ru-RU"/>
              </w:rPr>
            </w:pPr>
            <w:r w:rsidRPr="00C8391B">
              <w:rPr>
                <w:rFonts w:ascii="Times New Roman" w:eastAsia="Times New Roman" w:hAnsi="Times New Roman" w:cs="Times New Roman"/>
                <w:sz w:val="20"/>
                <w:szCs w:val="20"/>
                <w:lang w:eastAsia="ru-RU"/>
              </w:rPr>
              <w:t>7,3</w:t>
            </w:r>
          </w:p>
        </w:tc>
        <w:tc>
          <w:tcPr>
            <w:tcW w:w="1701" w:type="dxa"/>
          </w:tcPr>
          <w:p w:rsidR="00F83FBF" w:rsidRPr="00C8391B" w:rsidRDefault="00F83FBF" w:rsidP="00F83FBF">
            <w:pPr>
              <w:jc w:val="center"/>
              <w:rPr>
                <w:rFonts w:ascii="Times New Roman" w:eastAsia="Times New Roman" w:hAnsi="Times New Roman" w:cs="Times New Roman"/>
                <w:sz w:val="20"/>
                <w:szCs w:val="20"/>
                <w:lang w:eastAsia="ru-RU"/>
              </w:rPr>
            </w:pPr>
            <w:r w:rsidRPr="00C8391B">
              <w:rPr>
                <w:rFonts w:ascii="Times New Roman" w:eastAsia="Times New Roman" w:hAnsi="Times New Roman" w:cs="Times New Roman"/>
                <w:sz w:val="20"/>
                <w:szCs w:val="20"/>
                <w:lang w:eastAsia="ru-RU"/>
              </w:rPr>
              <w:t>7,3</w:t>
            </w:r>
          </w:p>
        </w:tc>
        <w:tc>
          <w:tcPr>
            <w:tcW w:w="815" w:type="dxa"/>
          </w:tcPr>
          <w:p w:rsidR="00F83FBF" w:rsidRPr="00C8391B" w:rsidRDefault="00F83FBF" w:rsidP="00F83FBF">
            <w:pPr>
              <w:jc w:val="center"/>
              <w:rPr>
                <w:rFonts w:ascii="Times New Roman" w:eastAsia="Times New Roman" w:hAnsi="Times New Roman" w:cs="Times New Roman"/>
                <w:sz w:val="20"/>
                <w:szCs w:val="20"/>
                <w:lang w:eastAsia="ru-RU"/>
              </w:rPr>
            </w:pPr>
            <w:r w:rsidRPr="00C8391B">
              <w:rPr>
                <w:rFonts w:ascii="Times New Roman" w:eastAsia="Times New Roman" w:hAnsi="Times New Roman" w:cs="Times New Roman"/>
                <w:sz w:val="20"/>
                <w:szCs w:val="20"/>
                <w:lang w:eastAsia="ru-RU"/>
              </w:rPr>
              <w:t>100,0</w:t>
            </w:r>
          </w:p>
        </w:tc>
      </w:tr>
      <w:tr w:rsidR="00F83FBF" w:rsidTr="00F83FBF">
        <w:tc>
          <w:tcPr>
            <w:tcW w:w="709" w:type="dxa"/>
          </w:tcPr>
          <w:p w:rsidR="00F83FBF" w:rsidRPr="00C8391B" w:rsidRDefault="00D47736" w:rsidP="00DB1285">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w:t>
            </w:r>
            <w:r w:rsidR="00DB1285">
              <w:rPr>
                <w:rFonts w:ascii="Times New Roman" w:eastAsia="Times New Roman" w:hAnsi="Times New Roman" w:cs="Times New Roman"/>
                <w:sz w:val="20"/>
                <w:szCs w:val="20"/>
                <w:lang w:eastAsia="ru-RU"/>
              </w:rPr>
              <w:t>0</w:t>
            </w:r>
          </w:p>
        </w:tc>
        <w:tc>
          <w:tcPr>
            <w:tcW w:w="4678" w:type="dxa"/>
          </w:tcPr>
          <w:p w:rsidR="00F83FBF" w:rsidRPr="00C8391B" w:rsidRDefault="00F83FBF" w:rsidP="00F83FBF">
            <w:pPr>
              <w:rPr>
                <w:rFonts w:ascii="Times New Roman" w:eastAsia="Times New Roman" w:hAnsi="Times New Roman" w:cs="Times New Roman"/>
                <w:color w:val="000000"/>
                <w:sz w:val="20"/>
                <w:szCs w:val="20"/>
                <w:lang w:eastAsia="ru-RU"/>
              </w:rPr>
            </w:pPr>
            <w:r w:rsidRPr="00C8391B">
              <w:rPr>
                <w:rFonts w:ascii="Times New Roman" w:eastAsia="Times New Roman" w:hAnsi="Times New Roman" w:cs="Times New Roman"/>
                <w:color w:val="000000"/>
                <w:sz w:val="20"/>
                <w:szCs w:val="20"/>
                <w:lang w:eastAsia="ru-RU"/>
              </w:rPr>
              <w:t xml:space="preserve">Доля внутренних затрат на исследования и </w:t>
            </w:r>
            <w:r w:rsidRPr="00C8391B">
              <w:rPr>
                <w:rFonts w:ascii="Times New Roman" w:eastAsia="Times New Roman" w:hAnsi="Times New Roman" w:cs="Times New Roman"/>
                <w:color w:val="000000"/>
                <w:sz w:val="20"/>
                <w:szCs w:val="20"/>
                <w:lang w:eastAsia="ru-RU"/>
              </w:rPr>
              <w:lastRenderedPageBreak/>
              <w:t>разработки в общем объеме ВРП, (%) &lt;5&gt;</w:t>
            </w:r>
          </w:p>
        </w:tc>
        <w:tc>
          <w:tcPr>
            <w:tcW w:w="1843" w:type="dxa"/>
          </w:tcPr>
          <w:p w:rsidR="00F83FBF" w:rsidRPr="00C8391B" w:rsidRDefault="00F83FBF" w:rsidP="00F83FBF">
            <w:pPr>
              <w:jc w:val="center"/>
              <w:rPr>
                <w:rFonts w:ascii="Times New Roman" w:eastAsia="Times New Roman" w:hAnsi="Times New Roman" w:cs="Times New Roman"/>
                <w:sz w:val="20"/>
                <w:szCs w:val="20"/>
                <w:lang w:eastAsia="ru-RU"/>
              </w:rPr>
            </w:pPr>
            <w:r w:rsidRPr="00C8391B">
              <w:rPr>
                <w:rFonts w:ascii="Times New Roman" w:eastAsia="Times New Roman" w:hAnsi="Times New Roman" w:cs="Times New Roman"/>
                <w:sz w:val="20"/>
                <w:szCs w:val="20"/>
                <w:lang w:eastAsia="ru-RU"/>
              </w:rPr>
              <w:lastRenderedPageBreak/>
              <w:t>0,2</w:t>
            </w:r>
          </w:p>
        </w:tc>
        <w:tc>
          <w:tcPr>
            <w:tcW w:w="1701" w:type="dxa"/>
          </w:tcPr>
          <w:p w:rsidR="00F83FBF" w:rsidRPr="00C8391B" w:rsidRDefault="00F83FBF" w:rsidP="00F83FBF">
            <w:pPr>
              <w:jc w:val="center"/>
              <w:rPr>
                <w:rFonts w:ascii="Times New Roman" w:eastAsia="Times New Roman" w:hAnsi="Times New Roman" w:cs="Times New Roman"/>
                <w:sz w:val="20"/>
                <w:szCs w:val="20"/>
                <w:lang w:eastAsia="ru-RU"/>
              </w:rPr>
            </w:pPr>
            <w:r w:rsidRPr="00C8391B">
              <w:rPr>
                <w:rFonts w:ascii="Times New Roman" w:eastAsia="Times New Roman" w:hAnsi="Times New Roman" w:cs="Times New Roman"/>
                <w:sz w:val="20"/>
                <w:szCs w:val="20"/>
                <w:lang w:eastAsia="ru-RU"/>
              </w:rPr>
              <w:t>0,2</w:t>
            </w:r>
          </w:p>
        </w:tc>
        <w:tc>
          <w:tcPr>
            <w:tcW w:w="815" w:type="dxa"/>
          </w:tcPr>
          <w:p w:rsidR="00F83FBF" w:rsidRPr="00C8391B" w:rsidRDefault="00F83FBF" w:rsidP="00F83FBF">
            <w:pPr>
              <w:jc w:val="center"/>
              <w:rPr>
                <w:rFonts w:ascii="Times New Roman" w:eastAsia="Times New Roman" w:hAnsi="Times New Roman" w:cs="Times New Roman"/>
                <w:sz w:val="20"/>
                <w:szCs w:val="20"/>
                <w:lang w:eastAsia="ru-RU"/>
              </w:rPr>
            </w:pPr>
            <w:r w:rsidRPr="00C8391B">
              <w:rPr>
                <w:rFonts w:ascii="Times New Roman" w:eastAsia="Times New Roman" w:hAnsi="Times New Roman" w:cs="Times New Roman"/>
                <w:sz w:val="20"/>
                <w:szCs w:val="20"/>
                <w:lang w:eastAsia="ru-RU"/>
              </w:rPr>
              <w:t>100,0</w:t>
            </w:r>
          </w:p>
        </w:tc>
      </w:tr>
      <w:tr w:rsidR="00F83FBF" w:rsidTr="00F83FBF">
        <w:tc>
          <w:tcPr>
            <w:tcW w:w="709" w:type="dxa"/>
          </w:tcPr>
          <w:p w:rsidR="00F83FBF" w:rsidRPr="00C8391B" w:rsidRDefault="00D47736" w:rsidP="00DB1285">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4</w:t>
            </w:r>
            <w:r w:rsidR="00DB1285">
              <w:rPr>
                <w:rFonts w:ascii="Times New Roman" w:eastAsia="Times New Roman" w:hAnsi="Times New Roman" w:cs="Times New Roman"/>
                <w:sz w:val="20"/>
                <w:szCs w:val="20"/>
                <w:lang w:eastAsia="ru-RU"/>
              </w:rPr>
              <w:t>1</w:t>
            </w:r>
          </w:p>
        </w:tc>
        <w:tc>
          <w:tcPr>
            <w:tcW w:w="4678" w:type="dxa"/>
          </w:tcPr>
          <w:p w:rsidR="00F83FBF" w:rsidRPr="00C8391B" w:rsidRDefault="00F83FBF" w:rsidP="00F83FBF">
            <w:pPr>
              <w:rPr>
                <w:rFonts w:ascii="Times New Roman" w:eastAsia="Times New Roman" w:hAnsi="Times New Roman" w:cs="Times New Roman"/>
                <w:color w:val="000000"/>
                <w:sz w:val="20"/>
                <w:szCs w:val="20"/>
                <w:lang w:eastAsia="ru-RU"/>
              </w:rPr>
            </w:pPr>
            <w:r w:rsidRPr="00C8391B">
              <w:rPr>
                <w:rFonts w:ascii="Times New Roman" w:eastAsia="Times New Roman" w:hAnsi="Times New Roman" w:cs="Times New Roman"/>
                <w:color w:val="000000"/>
                <w:sz w:val="20"/>
                <w:szCs w:val="20"/>
                <w:lang w:eastAsia="ru-RU"/>
              </w:rPr>
              <w:t>Коэффициент обновления основных фондов, (%) &lt;1&gt;</w:t>
            </w:r>
          </w:p>
        </w:tc>
        <w:tc>
          <w:tcPr>
            <w:tcW w:w="1843" w:type="dxa"/>
          </w:tcPr>
          <w:p w:rsidR="00F83FBF" w:rsidRPr="00C8391B" w:rsidRDefault="00F83FBF" w:rsidP="00F83FBF">
            <w:pPr>
              <w:jc w:val="center"/>
              <w:rPr>
                <w:rFonts w:ascii="Times New Roman" w:eastAsia="Times New Roman" w:hAnsi="Times New Roman" w:cs="Times New Roman"/>
                <w:sz w:val="20"/>
                <w:szCs w:val="20"/>
                <w:lang w:eastAsia="ru-RU"/>
              </w:rPr>
            </w:pPr>
            <w:r w:rsidRPr="00C8391B">
              <w:rPr>
                <w:rFonts w:ascii="Times New Roman" w:eastAsia="Times New Roman" w:hAnsi="Times New Roman" w:cs="Times New Roman"/>
                <w:sz w:val="20"/>
                <w:szCs w:val="20"/>
                <w:lang w:eastAsia="ru-RU"/>
              </w:rPr>
              <w:t>9,9</w:t>
            </w:r>
          </w:p>
        </w:tc>
        <w:tc>
          <w:tcPr>
            <w:tcW w:w="1701" w:type="dxa"/>
          </w:tcPr>
          <w:p w:rsidR="00F83FBF" w:rsidRPr="00C8391B" w:rsidRDefault="00F83FBF" w:rsidP="00F83FBF">
            <w:pPr>
              <w:jc w:val="center"/>
              <w:rPr>
                <w:rFonts w:ascii="Times New Roman" w:eastAsia="Times New Roman" w:hAnsi="Times New Roman" w:cs="Times New Roman"/>
                <w:sz w:val="20"/>
                <w:szCs w:val="20"/>
                <w:lang w:eastAsia="ru-RU"/>
              </w:rPr>
            </w:pPr>
            <w:r w:rsidRPr="00C8391B">
              <w:rPr>
                <w:rFonts w:ascii="Times New Roman" w:eastAsia="Times New Roman" w:hAnsi="Times New Roman" w:cs="Times New Roman"/>
                <w:sz w:val="20"/>
                <w:szCs w:val="20"/>
                <w:lang w:eastAsia="ru-RU"/>
              </w:rPr>
              <w:t>9,9</w:t>
            </w:r>
          </w:p>
        </w:tc>
        <w:tc>
          <w:tcPr>
            <w:tcW w:w="815" w:type="dxa"/>
          </w:tcPr>
          <w:p w:rsidR="00F83FBF" w:rsidRPr="00C8391B" w:rsidRDefault="00F83FBF" w:rsidP="00F83FBF">
            <w:pPr>
              <w:jc w:val="center"/>
              <w:rPr>
                <w:rFonts w:ascii="Times New Roman" w:eastAsia="Times New Roman" w:hAnsi="Times New Roman" w:cs="Times New Roman"/>
                <w:sz w:val="20"/>
                <w:szCs w:val="20"/>
                <w:lang w:eastAsia="ru-RU"/>
              </w:rPr>
            </w:pPr>
            <w:r w:rsidRPr="00C8391B">
              <w:rPr>
                <w:rFonts w:ascii="Times New Roman" w:eastAsia="Times New Roman" w:hAnsi="Times New Roman" w:cs="Times New Roman"/>
                <w:sz w:val="20"/>
                <w:szCs w:val="20"/>
                <w:lang w:eastAsia="ru-RU"/>
              </w:rPr>
              <w:t>100,0</w:t>
            </w:r>
          </w:p>
        </w:tc>
      </w:tr>
      <w:tr w:rsidR="00F83FBF" w:rsidTr="00F83FBF">
        <w:tc>
          <w:tcPr>
            <w:tcW w:w="709" w:type="dxa"/>
          </w:tcPr>
          <w:p w:rsidR="00F83FBF" w:rsidRPr="00C8391B" w:rsidRDefault="00D47736" w:rsidP="00DB1285">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w:t>
            </w:r>
            <w:r w:rsidR="00DB1285">
              <w:rPr>
                <w:rFonts w:ascii="Times New Roman" w:eastAsia="Times New Roman" w:hAnsi="Times New Roman" w:cs="Times New Roman"/>
                <w:sz w:val="20"/>
                <w:szCs w:val="20"/>
                <w:lang w:eastAsia="ru-RU"/>
              </w:rPr>
              <w:t>2</w:t>
            </w:r>
          </w:p>
        </w:tc>
        <w:tc>
          <w:tcPr>
            <w:tcW w:w="4678" w:type="dxa"/>
          </w:tcPr>
          <w:p w:rsidR="00F83FBF" w:rsidRPr="00C8391B" w:rsidRDefault="00F83FBF" w:rsidP="00F83FBF">
            <w:pPr>
              <w:rPr>
                <w:rFonts w:ascii="Times New Roman" w:eastAsia="Times New Roman" w:hAnsi="Times New Roman" w:cs="Times New Roman"/>
                <w:sz w:val="20"/>
                <w:szCs w:val="20"/>
                <w:lang w:eastAsia="ru-RU"/>
              </w:rPr>
            </w:pPr>
            <w:r w:rsidRPr="00C8391B">
              <w:rPr>
                <w:rFonts w:ascii="Times New Roman" w:eastAsia="Times New Roman" w:hAnsi="Times New Roman" w:cs="Times New Roman"/>
                <w:sz w:val="20"/>
                <w:szCs w:val="20"/>
                <w:lang w:eastAsia="ru-RU"/>
              </w:rPr>
              <w:t>Уровень развития государственно-частного партнерства</w:t>
            </w:r>
            <w:proofErr w:type="gramStart"/>
            <w:r w:rsidRPr="00C8391B">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 xml:space="preserve"> </w:t>
            </w:r>
            <w:r w:rsidRPr="00C8391B">
              <w:rPr>
                <w:rFonts w:ascii="Times New Roman" w:eastAsia="Times New Roman" w:hAnsi="Times New Roman" w:cs="Times New Roman"/>
                <w:sz w:val="20"/>
                <w:szCs w:val="20"/>
                <w:lang w:eastAsia="ru-RU"/>
              </w:rPr>
              <w:t>(%)</w:t>
            </w:r>
            <w:proofErr w:type="gramEnd"/>
          </w:p>
        </w:tc>
        <w:tc>
          <w:tcPr>
            <w:tcW w:w="1843" w:type="dxa"/>
          </w:tcPr>
          <w:p w:rsidR="00F83FBF" w:rsidRPr="00C8391B" w:rsidRDefault="00F83FBF" w:rsidP="00F83FBF">
            <w:pPr>
              <w:jc w:val="center"/>
              <w:rPr>
                <w:rFonts w:ascii="Times New Roman" w:eastAsia="Times New Roman" w:hAnsi="Times New Roman" w:cs="Times New Roman"/>
                <w:sz w:val="20"/>
                <w:szCs w:val="20"/>
                <w:lang w:eastAsia="ru-RU"/>
              </w:rPr>
            </w:pPr>
            <w:r w:rsidRPr="00C8391B">
              <w:rPr>
                <w:rFonts w:ascii="Times New Roman" w:eastAsia="Times New Roman" w:hAnsi="Times New Roman" w:cs="Times New Roman"/>
                <w:sz w:val="20"/>
                <w:szCs w:val="20"/>
                <w:lang w:eastAsia="ru-RU"/>
              </w:rPr>
              <w:t>56,6</w:t>
            </w:r>
          </w:p>
        </w:tc>
        <w:tc>
          <w:tcPr>
            <w:tcW w:w="1701" w:type="dxa"/>
          </w:tcPr>
          <w:p w:rsidR="00F83FBF" w:rsidRPr="00C8391B" w:rsidRDefault="00F83FBF" w:rsidP="00F83FBF">
            <w:pPr>
              <w:jc w:val="center"/>
              <w:rPr>
                <w:rFonts w:ascii="Times New Roman" w:eastAsia="Times New Roman" w:hAnsi="Times New Roman" w:cs="Times New Roman"/>
                <w:sz w:val="20"/>
                <w:szCs w:val="20"/>
                <w:lang w:eastAsia="ru-RU"/>
              </w:rPr>
            </w:pPr>
            <w:r w:rsidRPr="00C8391B">
              <w:rPr>
                <w:rFonts w:ascii="Times New Roman" w:eastAsia="Times New Roman" w:hAnsi="Times New Roman" w:cs="Times New Roman"/>
                <w:sz w:val="20"/>
                <w:szCs w:val="20"/>
                <w:lang w:eastAsia="ru-RU"/>
              </w:rPr>
              <w:t>30,6</w:t>
            </w:r>
          </w:p>
        </w:tc>
        <w:tc>
          <w:tcPr>
            <w:tcW w:w="815" w:type="dxa"/>
          </w:tcPr>
          <w:p w:rsidR="00F83FBF" w:rsidRPr="00C8391B" w:rsidRDefault="00F83FBF" w:rsidP="00F83FBF">
            <w:pPr>
              <w:jc w:val="center"/>
              <w:rPr>
                <w:rFonts w:ascii="Times New Roman" w:eastAsia="Times New Roman" w:hAnsi="Times New Roman" w:cs="Times New Roman"/>
                <w:sz w:val="20"/>
                <w:szCs w:val="20"/>
                <w:lang w:eastAsia="ru-RU"/>
              </w:rPr>
            </w:pPr>
            <w:r w:rsidRPr="00C8391B">
              <w:rPr>
                <w:rFonts w:ascii="Times New Roman" w:eastAsia="Times New Roman" w:hAnsi="Times New Roman" w:cs="Times New Roman"/>
                <w:sz w:val="20"/>
                <w:szCs w:val="20"/>
                <w:lang w:eastAsia="ru-RU"/>
              </w:rPr>
              <w:t>54,1</w:t>
            </w:r>
          </w:p>
        </w:tc>
      </w:tr>
    </w:tbl>
    <w:p w:rsidR="002C50AB" w:rsidRPr="00937F0A" w:rsidRDefault="002C50AB" w:rsidP="00937F0A">
      <w:pPr>
        <w:autoSpaceDE w:val="0"/>
        <w:autoSpaceDN w:val="0"/>
        <w:adjustRightInd w:val="0"/>
        <w:spacing w:after="0" w:line="360" w:lineRule="auto"/>
        <w:ind w:firstLine="567"/>
        <w:jc w:val="both"/>
        <w:outlineLvl w:val="2"/>
        <w:rPr>
          <w:rFonts w:ascii="Times New Roman" w:eastAsia="Calibri" w:hAnsi="Times New Roman" w:cs="Times New Roman"/>
          <w:sz w:val="28"/>
          <w:szCs w:val="28"/>
        </w:rPr>
      </w:pPr>
    </w:p>
    <w:p w:rsidR="00F83FBF" w:rsidRPr="00226F42" w:rsidRDefault="00F83FBF" w:rsidP="00F83FBF">
      <w:pPr>
        <w:autoSpaceDE w:val="0"/>
        <w:autoSpaceDN w:val="0"/>
        <w:adjustRightInd w:val="0"/>
        <w:spacing w:after="0" w:line="360" w:lineRule="auto"/>
        <w:ind w:firstLine="567"/>
        <w:jc w:val="both"/>
        <w:outlineLvl w:val="2"/>
        <w:rPr>
          <w:rFonts w:ascii="Times New Roman" w:eastAsia="Calibri" w:hAnsi="Times New Roman" w:cs="Times New Roman"/>
          <w:sz w:val="28"/>
          <w:szCs w:val="28"/>
        </w:rPr>
      </w:pPr>
      <w:r w:rsidRPr="007C5B9C">
        <w:rPr>
          <w:rFonts w:ascii="Times New Roman" w:eastAsia="Calibri" w:hAnsi="Times New Roman" w:cs="Times New Roman"/>
          <w:sz w:val="28"/>
          <w:szCs w:val="28"/>
        </w:rPr>
        <w:t xml:space="preserve">В ходе реализации мероприятий Программы </w:t>
      </w:r>
      <w:r>
        <w:rPr>
          <w:rFonts w:ascii="Times New Roman" w:eastAsia="Calibri" w:hAnsi="Times New Roman" w:cs="Times New Roman"/>
          <w:sz w:val="28"/>
          <w:szCs w:val="28"/>
        </w:rPr>
        <w:t xml:space="preserve">за 2015 год были достигнуты следующие результаты: </w:t>
      </w:r>
    </w:p>
    <w:p w:rsidR="00801570" w:rsidRPr="009B1920" w:rsidRDefault="00801570" w:rsidP="00801570">
      <w:pPr>
        <w:spacing w:after="0" w:line="360" w:lineRule="auto"/>
        <w:ind w:firstLine="709"/>
        <w:jc w:val="both"/>
        <w:rPr>
          <w:rFonts w:ascii="Times New Roman" w:hAnsi="Times New Roman" w:cs="Times New Roman"/>
          <w:sz w:val="28"/>
          <w:szCs w:val="28"/>
        </w:rPr>
      </w:pPr>
      <w:r w:rsidRPr="00D47736">
        <w:rPr>
          <w:rFonts w:ascii="Times New Roman" w:hAnsi="Times New Roman" w:cs="Times New Roman"/>
          <w:b/>
          <w:sz w:val="28"/>
          <w:szCs w:val="28"/>
        </w:rPr>
        <w:t xml:space="preserve">По </w:t>
      </w:r>
      <w:r w:rsidRPr="00F83FBF">
        <w:rPr>
          <w:rFonts w:ascii="Times New Roman" w:hAnsi="Times New Roman" w:cs="Times New Roman"/>
          <w:b/>
          <w:sz w:val="28"/>
          <w:szCs w:val="28"/>
        </w:rPr>
        <w:t>подпрограмме I «Совершенствование системы государственного стратегического управления»</w:t>
      </w:r>
    </w:p>
    <w:p w:rsidR="00801570" w:rsidRPr="009B1920" w:rsidRDefault="00801570" w:rsidP="00801570">
      <w:pPr>
        <w:spacing w:after="0" w:line="360" w:lineRule="auto"/>
        <w:ind w:firstLine="709"/>
        <w:jc w:val="both"/>
        <w:rPr>
          <w:rFonts w:ascii="Times New Roman" w:hAnsi="Times New Roman" w:cs="Times New Roman"/>
          <w:sz w:val="28"/>
          <w:szCs w:val="28"/>
        </w:rPr>
      </w:pPr>
      <w:r w:rsidRPr="009B1920">
        <w:rPr>
          <w:rFonts w:ascii="Times New Roman" w:hAnsi="Times New Roman" w:cs="Times New Roman"/>
          <w:sz w:val="28"/>
          <w:szCs w:val="28"/>
        </w:rPr>
        <w:t xml:space="preserve">Сформирована нормативная правовая база, регулирующая вопросы стратегического управления в автономном округе, основополагающим из которых является закон автономного округа от 28 мая 2015 года № 46-оз «Об отдельных вопросах осуществления стратегического планирования </w:t>
      </w:r>
      <w:proofErr w:type="gramStart"/>
      <w:r w:rsidRPr="009B1920">
        <w:rPr>
          <w:rFonts w:ascii="Times New Roman" w:hAnsi="Times New Roman" w:cs="Times New Roman"/>
          <w:sz w:val="28"/>
          <w:szCs w:val="28"/>
        </w:rPr>
        <w:t>в</w:t>
      </w:r>
      <w:proofErr w:type="gramEnd"/>
      <w:r w:rsidRPr="009B1920">
        <w:rPr>
          <w:rFonts w:ascii="Times New Roman" w:hAnsi="Times New Roman" w:cs="Times New Roman"/>
          <w:sz w:val="28"/>
          <w:szCs w:val="28"/>
        </w:rPr>
        <w:t xml:space="preserve"> </w:t>
      </w:r>
      <w:proofErr w:type="gramStart"/>
      <w:r w:rsidRPr="009B1920">
        <w:rPr>
          <w:rFonts w:ascii="Times New Roman" w:hAnsi="Times New Roman" w:cs="Times New Roman"/>
          <w:sz w:val="28"/>
          <w:szCs w:val="28"/>
        </w:rPr>
        <w:t>Ханты-Мансийском</w:t>
      </w:r>
      <w:proofErr w:type="gramEnd"/>
      <w:r w:rsidRPr="009B1920">
        <w:rPr>
          <w:rFonts w:ascii="Times New Roman" w:hAnsi="Times New Roman" w:cs="Times New Roman"/>
          <w:sz w:val="28"/>
          <w:szCs w:val="28"/>
        </w:rPr>
        <w:t xml:space="preserve"> автономном округе – Югре».</w:t>
      </w:r>
    </w:p>
    <w:p w:rsidR="00801570" w:rsidRPr="009B1920" w:rsidRDefault="00801570" w:rsidP="00801570">
      <w:pPr>
        <w:spacing w:after="0" w:line="360" w:lineRule="auto"/>
        <w:ind w:firstLine="709"/>
        <w:jc w:val="both"/>
        <w:rPr>
          <w:rFonts w:ascii="Times New Roman" w:hAnsi="Times New Roman" w:cs="Times New Roman"/>
          <w:sz w:val="28"/>
          <w:szCs w:val="28"/>
        </w:rPr>
      </w:pPr>
      <w:r w:rsidRPr="009B1920">
        <w:rPr>
          <w:rFonts w:ascii="Times New Roman" w:hAnsi="Times New Roman" w:cs="Times New Roman"/>
          <w:sz w:val="28"/>
          <w:szCs w:val="28"/>
        </w:rPr>
        <w:t>Одним из ключевых событий 2015 года стало принятие нормативной правовой базы по стратегическому планированию – порядки разработки, корректировки документов стратегического планирования</w:t>
      </w:r>
      <w:r w:rsidRPr="009B1920">
        <w:rPr>
          <w:rStyle w:val="aa"/>
          <w:rFonts w:ascii="Times New Roman" w:hAnsi="Times New Roman" w:cs="Times New Roman"/>
          <w:sz w:val="28"/>
          <w:szCs w:val="28"/>
        </w:rPr>
        <w:footnoteReference w:id="1"/>
      </w:r>
      <w:r w:rsidRPr="009B1920">
        <w:rPr>
          <w:rFonts w:ascii="Times New Roman" w:hAnsi="Times New Roman" w:cs="Times New Roman"/>
          <w:sz w:val="28"/>
          <w:szCs w:val="28"/>
        </w:rPr>
        <w:t>.</w:t>
      </w:r>
    </w:p>
    <w:p w:rsidR="00801570" w:rsidRPr="009B1920" w:rsidRDefault="00801570" w:rsidP="00801570">
      <w:pPr>
        <w:spacing w:after="0" w:line="360" w:lineRule="auto"/>
        <w:ind w:firstLine="709"/>
        <w:jc w:val="both"/>
        <w:rPr>
          <w:rFonts w:ascii="Times New Roman" w:hAnsi="Times New Roman" w:cs="Times New Roman"/>
          <w:sz w:val="28"/>
          <w:szCs w:val="28"/>
        </w:rPr>
      </w:pPr>
      <w:r w:rsidRPr="009B1920">
        <w:rPr>
          <w:rFonts w:ascii="Times New Roman" w:hAnsi="Times New Roman" w:cs="Times New Roman"/>
          <w:sz w:val="28"/>
          <w:szCs w:val="28"/>
        </w:rPr>
        <w:t>Завершен процесс формирования целеполагающих документов в муниципальных образованиях.</w:t>
      </w:r>
    </w:p>
    <w:p w:rsidR="00E8759A" w:rsidRPr="009B1920" w:rsidRDefault="00801570" w:rsidP="00801570">
      <w:pPr>
        <w:spacing w:after="0" w:line="360" w:lineRule="auto"/>
        <w:ind w:firstLine="709"/>
        <w:jc w:val="both"/>
        <w:rPr>
          <w:rFonts w:ascii="Times New Roman" w:hAnsi="Times New Roman" w:cs="Times New Roman"/>
          <w:sz w:val="28"/>
          <w:szCs w:val="28"/>
        </w:rPr>
      </w:pPr>
      <w:r w:rsidRPr="009B1920">
        <w:rPr>
          <w:rFonts w:ascii="Times New Roman" w:hAnsi="Times New Roman" w:cs="Times New Roman"/>
          <w:sz w:val="28"/>
          <w:szCs w:val="28"/>
        </w:rPr>
        <w:lastRenderedPageBreak/>
        <w:t>Общественным советом по реализации Стратегии – 2030 рассмотрены результаты</w:t>
      </w:r>
      <w:r w:rsidR="00E8759A" w:rsidRPr="009B1920">
        <w:rPr>
          <w:rFonts w:ascii="Times New Roman" w:hAnsi="Times New Roman" w:cs="Times New Roman"/>
          <w:sz w:val="28"/>
          <w:szCs w:val="28"/>
        </w:rPr>
        <w:t xml:space="preserve"> реализации </w:t>
      </w:r>
      <w:r w:rsidRPr="009B1920">
        <w:rPr>
          <w:rFonts w:ascii="Times New Roman" w:hAnsi="Times New Roman" w:cs="Times New Roman"/>
          <w:sz w:val="28"/>
          <w:szCs w:val="28"/>
        </w:rPr>
        <w:t>документов стратегического планирования</w:t>
      </w:r>
      <w:r w:rsidR="00E8759A" w:rsidRPr="009B1920">
        <w:rPr>
          <w:rFonts w:ascii="Times New Roman" w:hAnsi="Times New Roman" w:cs="Times New Roman"/>
          <w:sz w:val="28"/>
          <w:szCs w:val="28"/>
        </w:rPr>
        <w:t>.</w:t>
      </w:r>
    </w:p>
    <w:p w:rsidR="00801570" w:rsidRPr="009B1920" w:rsidRDefault="00801570" w:rsidP="00801570">
      <w:pPr>
        <w:spacing w:after="0" w:line="360" w:lineRule="auto"/>
        <w:ind w:firstLine="709"/>
        <w:jc w:val="both"/>
        <w:rPr>
          <w:rFonts w:ascii="Times New Roman" w:hAnsi="Times New Roman" w:cs="Times New Roman"/>
          <w:sz w:val="28"/>
          <w:szCs w:val="28"/>
        </w:rPr>
      </w:pPr>
      <w:r w:rsidRPr="009B1920">
        <w:rPr>
          <w:rFonts w:ascii="Times New Roman" w:hAnsi="Times New Roman" w:cs="Times New Roman"/>
          <w:sz w:val="28"/>
          <w:szCs w:val="28"/>
        </w:rPr>
        <w:t xml:space="preserve">Реализация </w:t>
      </w:r>
      <w:r w:rsidR="00D43EC5" w:rsidRPr="009B1920">
        <w:rPr>
          <w:rFonts w:ascii="Times New Roman" w:hAnsi="Times New Roman" w:cs="Times New Roman"/>
          <w:sz w:val="28"/>
          <w:szCs w:val="28"/>
        </w:rPr>
        <w:t xml:space="preserve">документов стратегического планирования </w:t>
      </w:r>
      <w:r w:rsidRPr="009B1920">
        <w:rPr>
          <w:rFonts w:ascii="Times New Roman" w:hAnsi="Times New Roman" w:cs="Times New Roman"/>
          <w:sz w:val="28"/>
          <w:szCs w:val="28"/>
        </w:rPr>
        <w:t>в 2015 году проходила в непростых условиях внешнеэкономического давления на экономику России отдельных стран, негативно отразившихся и на социально-экономических процессах в автономном округе.</w:t>
      </w:r>
    </w:p>
    <w:p w:rsidR="00801570" w:rsidRPr="009B1920" w:rsidRDefault="00801570" w:rsidP="00801570">
      <w:pPr>
        <w:spacing w:after="0" w:line="360" w:lineRule="auto"/>
        <w:ind w:firstLine="709"/>
        <w:jc w:val="both"/>
        <w:rPr>
          <w:rFonts w:ascii="Times New Roman" w:hAnsi="Times New Roman" w:cs="Times New Roman"/>
          <w:sz w:val="28"/>
          <w:szCs w:val="28"/>
        </w:rPr>
      </w:pPr>
      <w:r w:rsidRPr="009B1920">
        <w:rPr>
          <w:rFonts w:ascii="Times New Roman" w:hAnsi="Times New Roman" w:cs="Times New Roman"/>
          <w:sz w:val="28"/>
          <w:szCs w:val="28"/>
        </w:rPr>
        <w:t xml:space="preserve">Правительством автономного округа принимались меры, направленные </w:t>
      </w:r>
      <w:proofErr w:type="gramStart"/>
      <w:r w:rsidRPr="009B1920">
        <w:rPr>
          <w:rFonts w:ascii="Times New Roman" w:hAnsi="Times New Roman" w:cs="Times New Roman"/>
          <w:sz w:val="28"/>
          <w:szCs w:val="28"/>
        </w:rPr>
        <w:t>на</w:t>
      </w:r>
      <w:proofErr w:type="gramEnd"/>
      <w:r w:rsidRPr="009B1920">
        <w:rPr>
          <w:rFonts w:ascii="Times New Roman" w:hAnsi="Times New Roman" w:cs="Times New Roman"/>
          <w:sz w:val="28"/>
          <w:szCs w:val="28"/>
        </w:rPr>
        <w:t>:</w:t>
      </w:r>
    </w:p>
    <w:p w:rsidR="00801570" w:rsidRPr="009B1920" w:rsidRDefault="00801570" w:rsidP="00801570">
      <w:pPr>
        <w:spacing w:after="0" w:line="360" w:lineRule="auto"/>
        <w:ind w:firstLine="709"/>
        <w:jc w:val="both"/>
        <w:rPr>
          <w:rFonts w:ascii="Times New Roman" w:hAnsi="Times New Roman" w:cs="Times New Roman"/>
          <w:sz w:val="28"/>
          <w:szCs w:val="28"/>
        </w:rPr>
      </w:pPr>
      <w:r w:rsidRPr="009B1920">
        <w:rPr>
          <w:rFonts w:ascii="Times New Roman" w:hAnsi="Times New Roman" w:cs="Times New Roman"/>
          <w:sz w:val="28"/>
          <w:szCs w:val="28"/>
        </w:rPr>
        <w:t xml:space="preserve">снижение негативных последствий сложившейся в 2015 году экономической ситуации в мире и России; </w:t>
      </w:r>
    </w:p>
    <w:p w:rsidR="00801570" w:rsidRPr="009B1920" w:rsidRDefault="00801570" w:rsidP="00801570">
      <w:pPr>
        <w:spacing w:after="0" w:line="360" w:lineRule="auto"/>
        <w:ind w:firstLine="709"/>
        <w:jc w:val="both"/>
        <w:rPr>
          <w:rFonts w:ascii="Times New Roman" w:hAnsi="Times New Roman" w:cs="Times New Roman"/>
          <w:sz w:val="28"/>
          <w:szCs w:val="28"/>
        </w:rPr>
      </w:pPr>
      <w:r w:rsidRPr="009B1920">
        <w:rPr>
          <w:rFonts w:ascii="Times New Roman" w:hAnsi="Times New Roman" w:cs="Times New Roman"/>
          <w:sz w:val="28"/>
          <w:szCs w:val="28"/>
        </w:rPr>
        <w:t>обеспечение социального равенства;</w:t>
      </w:r>
    </w:p>
    <w:p w:rsidR="00801570" w:rsidRPr="009B1920" w:rsidRDefault="00801570" w:rsidP="00801570">
      <w:pPr>
        <w:spacing w:after="0" w:line="360" w:lineRule="auto"/>
        <w:ind w:firstLine="709"/>
        <w:jc w:val="both"/>
        <w:rPr>
          <w:rFonts w:ascii="Times New Roman" w:hAnsi="Times New Roman" w:cs="Times New Roman"/>
          <w:sz w:val="28"/>
          <w:szCs w:val="28"/>
        </w:rPr>
      </w:pPr>
      <w:r w:rsidRPr="009B1920">
        <w:rPr>
          <w:rFonts w:ascii="Times New Roman" w:hAnsi="Times New Roman" w:cs="Times New Roman"/>
          <w:sz w:val="28"/>
          <w:szCs w:val="28"/>
        </w:rPr>
        <w:t xml:space="preserve">создание дополнительных стимулов социально-экономического развития муниципальных образований; </w:t>
      </w:r>
    </w:p>
    <w:p w:rsidR="00801570" w:rsidRPr="009B1920" w:rsidRDefault="00801570" w:rsidP="00801570">
      <w:pPr>
        <w:spacing w:after="0" w:line="360" w:lineRule="auto"/>
        <w:ind w:firstLine="709"/>
        <w:jc w:val="both"/>
        <w:rPr>
          <w:rFonts w:ascii="Times New Roman" w:hAnsi="Times New Roman" w:cs="Times New Roman"/>
          <w:sz w:val="28"/>
          <w:szCs w:val="28"/>
        </w:rPr>
      </w:pPr>
      <w:r w:rsidRPr="009B1920">
        <w:rPr>
          <w:rFonts w:ascii="Times New Roman" w:hAnsi="Times New Roman" w:cs="Times New Roman"/>
          <w:sz w:val="28"/>
          <w:szCs w:val="28"/>
        </w:rPr>
        <w:t>повышение уровня конкурентоспособности автономного округа и создание наиболее благоприятных условий для повышения инвестиционной составляющей экономики автономном округе.</w:t>
      </w:r>
    </w:p>
    <w:p w:rsidR="00801570" w:rsidRPr="0024756F" w:rsidRDefault="00801570" w:rsidP="00801570">
      <w:pPr>
        <w:spacing w:after="0" w:line="360" w:lineRule="auto"/>
        <w:ind w:firstLine="709"/>
        <w:jc w:val="both"/>
        <w:rPr>
          <w:rFonts w:ascii="Times New Roman" w:hAnsi="Times New Roman" w:cs="Times New Roman"/>
          <w:sz w:val="28"/>
          <w:szCs w:val="28"/>
        </w:rPr>
      </w:pPr>
      <w:r w:rsidRPr="0024756F">
        <w:rPr>
          <w:rFonts w:ascii="Times New Roman" w:hAnsi="Times New Roman" w:cs="Times New Roman"/>
          <w:sz w:val="28"/>
          <w:szCs w:val="28"/>
        </w:rPr>
        <w:t xml:space="preserve">Основные из них – План мероприятий по обеспечению устойчивого развития экономики (далее – План мероприятий), План </w:t>
      </w:r>
      <w:r w:rsidR="004534CC" w:rsidRPr="0024756F">
        <w:rPr>
          <w:rFonts w:ascii="Times New Roman" w:hAnsi="Times New Roman" w:cs="Times New Roman"/>
          <w:sz w:val="28"/>
          <w:szCs w:val="28"/>
        </w:rPr>
        <w:t>мероприятий по содействию развитию конкуренции</w:t>
      </w:r>
      <w:r w:rsidRPr="0024756F">
        <w:rPr>
          <w:rFonts w:ascii="Times New Roman" w:hAnsi="Times New Roman" w:cs="Times New Roman"/>
          <w:sz w:val="28"/>
          <w:szCs w:val="28"/>
        </w:rPr>
        <w:t>.</w:t>
      </w:r>
    </w:p>
    <w:p w:rsidR="00801570" w:rsidRPr="0024756F" w:rsidRDefault="00801570" w:rsidP="00801570">
      <w:pPr>
        <w:spacing w:after="0" w:line="360" w:lineRule="auto"/>
        <w:ind w:firstLine="709"/>
        <w:jc w:val="both"/>
        <w:rPr>
          <w:rFonts w:ascii="Times New Roman" w:hAnsi="Times New Roman" w:cs="Times New Roman"/>
          <w:sz w:val="28"/>
          <w:szCs w:val="28"/>
        </w:rPr>
      </w:pPr>
      <w:r w:rsidRPr="0024756F">
        <w:rPr>
          <w:rFonts w:ascii="Times New Roman" w:hAnsi="Times New Roman" w:cs="Times New Roman"/>
          <w:sz w:val="28"/>
          <w:szCs w:val="28"/>
        </w:rPr>
        <w:t xml:space="preserve">План мероприятий позволил реализовать дополнительные меры по поддержке организаций реального сектора экономики, а также поддержать процессы </w:t>
      </w:r>
      <w:proofErr w:type="spellStart"/>
      <w:r w:rsidRPr="0024756F">
        <w:rPr>
          <w:rFonts w:ascii="Times New Roman" w:hAnsi="Times New Roman" w:cs="Times New Roman"/>
          <w:sz w:val="28"/>
          <w:szCs w:val="28"/>
        </w:rPr>
        <w:t>импортозамещения</w:t>
      </w:r>
      <w:proofErr w:type="spellEnd"/>
      <w:r w:rsidRPr="0024756F">
        <w:rPr>
          <w:rFonts w:ascii="Times New Roman" w:hAnsi="Times New Roman" w:cs="Times New Roman"/>
          <w:sz w:val="28"/>
          <w:szCs w:val="28"/>
        </w:rPr>
        <w:t>, в социальной политике обеспечить исполнение всех публичных обязательств и расширить их перечень для наиболее уязвимых слоев населения.</w:t>
      </w:r>
    </w:p>
    <w:p w:rsidR="00801570" w:rsidRPr="0024756F" w:rsidRDefault="00801570" w:rsidP="00801570">
      <w:pPr>
        <w:spacing w:after="0" w:line="360" w:lineRule="auto"/>
        <w:ind w:firstLine="709"/>
        <w:jc w:val="both"/>
        <w:rPr>
          <w:rFonts w:ascii="Times New Roman" w:hAnsi="Times New Roman" w:cs="Times New Roman"/>
          <w:sz w:val="28"/>
          <w:szCs w:val="28"/>
        </w:rPr>
      </w:pPr>
      <w:r w:rsidRPr="0024756F">
        <w:rPr>
          <w:rFonts w:ascii="Times New Roman" w:hAnsi="Times New Roman" w:cs="Times New Roman"/>
          <w:sz w:val="28"/>
          <w:szCs w:val="28"/>
        </w:rPr>
        <w:t xml:space="preserve">План мероприятий </w:t>
      </w:r>
      <w:r w:rsidR="00BE0CE7" w:rsidRPr="0024756F">
        <w:rPr>
          <w:rFonts w:ascii="Times New Roman" w:hAnsi="Times New Roman" w:cs="Times New Roman"/>
          <w:sz w:val="28"/>
          <w:szCs w:val="28"/>
        </w:rPr>
        <w:t xml:space="preserve">включает </w:t>
      </w:r>
      <w:r w:rsidRPr="0024756F">
        <w:rPr>
          <w:rFonts w:ascii="Times New Roman" w:hAnsi="Times New Roman" w:cs="Times New Roman"/>
          <w:sz w:val="28"/>
          <w:szCs w:val="28"/>
        </w:rPr>
        <w:t>первоочередны</w:t>
      </w:r>
      <w:r w:rsidR="00BE0CE7" w:rsidRPr="0024756F">
        <w:rPr>
          <w:rFonts w:ascii="Times New Roman" w:hAnsi="Times New Roman" w:cs="Times New Roman"/>
          <w:sz w:val="28"/>
          <w:szCs w:val="28"/>
        </w:rPr>
        <w:t>е</w:t>
      </w:r>
      <w:r w:rsidRPr="0024756F">
        <w:rPr>
          <w:rFonts w:ascii="Times New Roman" w:hAnsi="Times New Roman" w:cs="Times New Roman"/>
          <w:sz w:val="28"/>
          <w:szCs w:val="28"/>
        </w:rPr>
        <w:t xml:space="preserve"> мероприяти</w:t>
      </w:r>
      <w:r w:rsidR="00BE0CE7" w:rsidRPr="0024756F">
        <w:rPr>
          <w:rFonts w:ascii="Times New Roman" w:hAnsi="Times New Roman" w:cs="Times New Roman"/>
          <w:sz w:val="28"/>
          <w:szCs w:val="28"/>
        </w:rPr>
        <w:t>я</w:t>
      </w:r>
      <w:r w:rsidRPr="0024756F">
        <w:rPr>
          <w:rFonts w:ascii="Times New Roman" w:hAnsi="Times New Roman" w:cs="Times New Roman"/>
          <w:sz w:val="28"/>
          <w:szCs w:val="28"/>
        </w:rPr>
        <w:t xml:space="preserve"> и долгосрочны</w:t>
      </w:r>
      <w:r w:rsidR="00BE0CE7" w:rsidRPr="0024756F">
        <w:rPr>
          <w:rFonts w:ascii="Times New Roman" w:hAnsi="Times New Roman" w:cs="Times New Roman"/>
          <w:sz w:val="28"/>
          <w:szCs w:val="28"/>
        </w:rPr>
        <w:t>е</w:t>
      </w:r>
      <w:r w:rsidRPr="0024756F">
        <w:rPr>
          <w:rFonts w:ascii="Times New Roman" w:hAnsi="Times New Roman" w:cs="Times New Roman"/>
          <w:sz w:val="28"/>
          <w:szCs w:val="28"/>
        </w:rPr>
        <w:t xml:space="preserve"> проект</w:t>
      </w:r>
      <w:r w:rsidR="00BE0CE7" w:rsidRPr="0024756F">
        <w:rPr>
          <w:rFonts w:ascii="Times New Roman" w:hAnsi="Times New Roman" w:cs="Times New Roman"/>
          <w:sz w:val="28"/>
          <w:szCs w:val="28"/>
        </w:rPr>
        <w:t>ы</w:t>
      </w:r>
      <w:r w:rsidRPr="0024756F">
        <w:rPr>
          <w:rFonts w:ascii="Times New Roman" w:hAnsi="Times New Roman" w:cs="Times New Roman"/>
          <w:sz w:val="28"/>
          <w:szCs w:val="28"/>
        </w:rPr>
        <w:t>, ориентированны</w:t>
      </w:r>
      <w:r w:rsidR="00BE0CE7" w:rsidRPr="0024756F">
        <w:rPr>
          <w:rFonts w:ascii="Times New Roman" w:hAnsi="Times New Roman" w:cs="Times New Roman"/>
          <w:sz w:val="28"/>
          <w:szCs w:val="28"/>
        </w:rPr>
        <w:t>е</w:t>
      </w:r>
      <w:r w:rsidRPr="0024756F">
        <w:rPr>
          <w:rFonts w:ascii="Times New Roman" w:hAnsi="Times New Roman" w:cs="Times New Roman"/>
          <w:sz w:val="28"/>
          <w:szCs w:val="28"/>
        </w:rPr>
        <w:t xml:space="preserve"> на решение накопленных внутренних проблем, формирование новой, более эффективной экономики. Объем финансирования антикризисного плана автономного округа в 2015 </w:t>
      </w:r>
      <w:r w:rsidRPr="0024756F">
        <w:rPr>
          <w:rFonts w:ascii="Times New Roman" w:hAnsi="Times New Roman" w:cs="Times New Roman"/>
          <w:sz w:val="28"/>
          <w:szCs w:val="28"/>
        </w:rPr>
        <w:lastRenderedPageBreak/>
        <w:t>году составил 17,0 млрд. рублей или 7,6% от общего объема расходов бюджета автономного округа.</w:t>
      </w:r>
    </w:p>
    <w:p w:rsidR="00801570" w:rsidRPr="0024756F" w:rsidRDefault="005E62E4" w:rsidP="00801570">
      <w:pPr>
        <w:spacing w:after="0" w:line="360" w:lineRule="auto"/>
        <w:ind w:firstLine="709"/>
        <w:jc w:val="both"/>
        <w:rPr>
          <w:rFonts w:ascii="Times New Roman" w:hAnsi="Times New Roman" w:cs="Times New Roman"/>
          <w:sz w:val="28"/>
          <w:szCs w:val="28"/>
        </w:rPr>
      </w:pPr>
      <w:r w:rsidRPr="0024756F">
        <w:rPr>
          <w:rFonts w:ascii="Times New Roman" w:hAnsi="Times New Roman" w:cs="Times New Roman"/>
          <w:sz w:val="28"/>
          <w:szCs w:val="28"/>
        </w:rPr>
        <w:t xml:space="preserve">В 2015 году </w:t>
      </w:r>
      <w:r w:rsidR="00801570" w:rsidRPr="0024756F">
        <w:rPr>
          <w:rFonts w:ascii="Times New Roman" w:hAnsi="Times New Roman" w:cs="Times New Roman"/>
          <w:sz w:val="28"/>
          <w:szCs w:val="28"/>
        </w:rPr>
        <w:t>План мероприятий исполнен в установленные сроки.</w:t>
      </w:r>
    </w:p>
    <w:p w:rsidR="00801570" w:rsidRPr="009E7132" w:rsidRDefault="00801570" w:rsidP="00801570">
      <w:pPr>
        <w:spacing w:after="0" w:line="360" w:lineRule="auto"/>
        <w:ind w:firstLine="709"/>
        <w:jc w:val="both"/>
        <w:rPr>
          <w:rFonts w:ascii="Times New Roman" w:hAnsi="Times New Roman" w:cs="Times New Roman"/>
          <w:sz w:val="28"/>
          <w:szCs w:val="28"/>
        </w:rPr>
      </w:pPr>
      <w:r w:rsidRPr="0024756F">
        <w:rPr>
          <w:rFonts w:ascii="Times New Roman" w:hAnsi="Times New Roman" w:cs="Times New Roman"/>
          <w:sz w:val="28"/>
          <w:szCs w:val="28"/>
        </w:rPr>
        <w:t>Был организован мониторинг состояния и развития конкурентной среды, с 2015 года эта информация включена в Итоги социально-</w:t>
      </w:r>
      <w:r w:rsidRPr="009E7132">
        <w:rPr>
          <w:rFonts w:ascii="Times New Roman" w:hAnsi="Times New Roman" w:cs="Times New Roman"/>
          <w:sz w:val="28"/>
          <w:szCs w:val="28"/>
        </w:rPr>
        <w:t>экономического развития.</w:t>
      </w:r>
    </w:p>
    <w:p w:rsidR="00801570" w:rsidRPr="009E7132" w:rsidRDefault="00801570" w:rsidP="00801570">
      <w:pPr>
        <w:spacing w:after="0" w:line="360" w:lineRule="auto"/>
        <w:ind w:firstLine="709"/>
        <w:jc w:val="both"/>
        <w:rPr>
          <w:rFonts w:ascii="Times New Roman" w:hAnsi="Times New Roman" w:cs="Times New Roman"/>
          <w:sz w:val="28"/>
          <w:szCs w:val="28"/>
        </w:rPr>
      </w:pPr>
      <w:r w:rsidRPr="009E7132">
        <w:rPr>
          <w:rFonts w:ascii="Times New Roman" w:hAnsi="Times New Roman" w:cs="Times New Roman"/>
          <w:sz w:val="28"/>
          <w:szCs w:val="28"/>
        </w:rPr>
        <w:t>Эффективность реализации комплекса мер по развитию конкуренции выражена в:</w:t>
      </w:r>
    </w:p>
    <w:p w:rsidR="00801570" w:rsidRPr="009E7132" w:rsidRDefault="00801570" w:rsidP="00801570">
      <w:pPr>
        <w:spacing w:after="0" w:line="360" w:lineRule="auto"/>
        <w:ind w:firstLine="709"/>
        <w:jc w:val="both"/>
        <w:rPr>
          <w:rFonts w:ascii="Times New Roman" w:hAnsi="Times New Roman" w:cs="Times New Roman"/>
          <w:sz w:val="28"/>
          <w:szCs w:val="28"/>
        </w:rPr>
      </w:pPr>
      <w:r w:rsidRPr="009E7132">
        <w:rPr>
          <w:rFonts w:ascii="Times New Roman" w:hAnsi="Times New Roman" w:cs="Times New Roman"/>
          <w:sz w:val="28"/>
          <w:szCs w:val="28"/>
        </w:rPr>
        <w:t xml:space="preserve">передаче ряда государственных и муниципальных услуг  негосударственным (частным) организациям; </w:t>
      </w:r>
    </w:p>
    <w:p w:rsidR="00801570" w:rsidRPr="009E7132" w:rsidRDefault="00801570" w:rsidP="00801570">
      <w:pPr>
        <w:spacing w:after="0" w:line="360" w:lineRule="auto"/>
        <w:ind w:firstLine="709"/>
        <w:jc w:val="both"/>
        <w:rPr>
          <w:rFonts w:ascii="Times New Roman" w:hAnsi="Times New Roman" w:cs="Times New Roman"/>
          <w:sz w:val="28"/>
          <w:szCs w:val="28"/>
        </w:rPr>
      </w:pPr>
      <w:proofErr w:type="gramStart"/>
      <w:r w:rsidRPr="009E7132">
        <w:rPr>
          <w:rFonts w:ascii="Times New Roman" w:hAnsi="Times New Roman" w:cs="Times New Roman"/>
          <w:sz w:val="28"/>
          <w:szCs w:val="28"/>
        </w:rPr>
        <w:t>увеличении</w:t>
      </w:r>
      <w:proofErr w:type="gramEnd"/>
      <w:r w:rsidRPr="009E7132">
        <w:rPr>
          <w:rFonts w:ascii="Times New Roman" w:hAnsi="Times New Roman" w:cs="Times New Roman"/>
          <w:sz w:val="28"/>
          <w:szCs w:val="28"/>
        </w:rPr>
        <w:t xml:space="preserve"> доли объектов энергетики, тепло-, водоснабжения, водоотведения, и объектов утилизации (захоронения) твердых бытовых отходов, переданных негосударственным (немуниципальным) организациям в концессию или долгосрочную (более 1 года) аренду от общего количества таких объектов до 50,0%;</w:t>
      </w:r>
    </w:p>
    <w:p w:rsidR="00801570" w:rsidRPr="009B1920" w:rsidRDefault="00801570" w:rsidP="00801570">
      <w:pPr>
        <w:spacing w:after="0" w:line="360" w:lineRule="auto"/>
        <w:ind w:firstLine="709"/>
        <w:jc w:val="both"/>
        <w:rPr>
          <w:rFonts w:ascii="Times New Roman" w:hAnsi="Times New Roman" w:cs="Times New Roman"/>
          <w:sz w:val="28"/>
          <w:szCs w:val="28"/>
        </w:rPr>
      </w:pPr>
      <w:proofErr w:type="gramStart"/>
      <w:r w:rsidRPr="009E7132">
        <w:rPr>
          <w:rFonts w:ascii="Times New Roman" w:hAnsi="Times New Roman" w:cs="Times New Roman"/>
          <w:sz w:val="28"/>
          <w:szCs w:val="28"/>
        </w:rPr>
        <w:t>создании</w:t>
      </w:r>
      <w:proofErr w:type="gramEnd"/>
      <w:r w:rsidRPr="009E7132">
        <w:rPr>
          <w:rFonts w:ascii="Times New Roman" w:hAnsi="Times New Roman" w:cs="Times New Roman"/>
          <w:sz w:val="28"/>
          <w:szCs w:val="28"/>
        </w:rPr>
        <w:t xml:space="preserve"> условий для реализации продукции местных товаропроизводителей.</w:t>
      </w:r>
    </w:p>
    <w:p w:rsidR="00801570" w:rsidRPr="009B1920" w:rsidRDefault="00801570" w:rsidP="00801570">
      <w:pPr>
        <w:spacing w:after="0" w:line="360" w:lineRule="auto"/>
        <w:ind w:firstLine="709"/>
        <w:jc w:val="both"/>
        <w:rPr>
          <w:rFonts w:ascii="Times New Roman" w:hAnsi="Times New Roman" w:cs="Times New Roman"/>
          <w:sz w:val="28"/>
          <w:szCs w:val="28"/>
        </w:rPr>
      </w:pPr>
      <w:r w:rsidRPr="009B1920">
        <w:rPr>
          <w:rFonts w:ascii="Times New Roman" w:hAnsi="Times New Roman" w:cs="Times New Roman"/>
          <w:sz w:val="28"/>
          <w:szCs w:val="28"/>
        </w:rPr>
        <w:t>Меры, реализованные Правительством автономного округа совместно с общественностью, муниципальными образованиями, хозяйствующими субъектами, позволили постепенно адаптироваться экономике к новым условиям, складывающимся на фоне снижения внешней конъюнктуры цен на мировом рынке нефти, введением экономических санкций, ослаблением курса рубля.</w:t>
      </w:r>
    </w:p>
    <w:p w:rsidR="00DC78D2" w:rsidRPr="009B1920" w:rsidRDefault="00801570" w:rsidP="00801570">
      <w:pPr>
        <w:spacing w:after="0" w:line="360" w:lineRule="auto"/>
        <w:ind w:firstLine="709"/>
        <w:jc w:val="both"/>
        <w:rPr>
          <w:rFonts w:ascii="Times New Roman" w:hAnsi="Times New Roman" w:cs="Times New Roman"/>
          <w:sz w:val="28"/>
          <w:szCs w:val="28"/>
        </w:rPr>
      </w:pPr>
      <w:r w:rsidRPr="009B1920">
        <w:rPr>
          <w:rFonts w:ascii="Times New Roman" w:hAnsi="Times New Roman" w:cs="Times New Roman"/>
          <w:sz w:val="28"/>
          <w:szCs w:val="28"/>
        </w:rPr>
        <w:t xml:space="preserve">В течение всего года Правительство автономного округа было открыто для диалога с общественностью по обсуждению итогов реализации </w:t>
      </w:r>
      <w:r w:rsidR="005B116F" w:rsidRPr="009B1920">
        <w:rPr>
          <w:rFonts w:ascii="Times New Roman" w:hAnsi="Times New Roman" w:cs="Times New Roman"/>
          <w:sz w:val="28"/>
          <w:szCs w:val="28"/>
        </w:rPr>
        <w:t>документов стратегического планирования</w:t>
      </w:r>
      <w:r w:rsidRPr="009B1920">
        <w:rPr>
          <w:rFonts w:ascii="Times New Roman" w:hAnsi="Times New Roman" w:cs="Times New Roman"/>
          <w:sz w:val="28"/>
          <w:szCs w:val="28"/>
        </w:rPr>
        <w:t xml:space="preserve">. </w:t>
      </w:r>
    </w:p>
    <w:p w:rsidR="00DC78D2" w:rsidRPr="00304636" w:rsidRDefault="00DC78D2" w:rsidP="00DC78D2">
      <w:pPr>
        <w:spacing w:after="0" w:line="360" w:lineRule="auto"/>
        <w:ind w:firstLine="709"/>
        <w:jc w:val="both"/>
        <w:rPr>
          <w:rFonts w:ascii="Times New Roman" w:eastAsia="Calibri" w:hAnsi="Times New Roman"/>
          <w:sz w:val="28"/>
          <w:szCs w:val="28"/>
          <w:lang w:eastAsia="ru-RU"/>
        </w:rPr>
      </w:pPr>
      <w:r w:rsidRPr="009B1920">
        <w:rPr>
          <w:rFonts w:ascii="Times New Roman" w:eastAsia="Calibri" w:hAnsi="Times New Roman" w:cs="Times New Roman"/>
          <w:sz w:val="28"/>
          <w:szCs w:val="28"/>
          <w:lang w:eastAsia="ru-RU"/>
        </w:rPr>
        <w:t xml:space="preserve">Обеспечен общественный </w:t>
      </w:r>
      <w:proofErr w:type="gramStart"/>
      <w:r w:rsidRPr="009B1920">
        <w:rPr>
          <w:rFonts w:ascii="Times New Roman" w:eastAsia="Calibri" w:hAnsi="Times New Roman" w:cs="Times New Roman"/>
          <w:sz w:val="28"/>
          <w:szCs w:val="28"/>
          <w:lang w:eastAsia="ru-RU"/>
        </w:rPr>
        <w:t>контроль за</w:t>
      </w:r>
      <w:proofErr w:type="gramEnd"/>
      <w:r w:rsidRPr="009B1920">
        <w:rPr>
          <w:rFonts w:ascii="Times New Roman" w:eastAsia="Calibri" w:hAnsi="Times New Roman" w:cs="Times New Roman"/>
          <w:sz w:val="28"/>
          <w:szCs w:val="28"/>
          <w:lang w:eastAsia="ru-RU"/>
        </w:rPr>
        <w:t xml:space="preserve"> рациональным использованием бюджетных средств, в том числе на этапах планирования бюджетных расходов, исполнения государственных программ, </w:t>
      </w:r>
      <w:r w:rsidRPr="009B1920">
        <w:rPr>
          <w:rFonts w:ascii="Times New Roman" w:eastAsia="Calibri" w:hAnsi="Times New Roman" w:cs="Times New Roman"/>
          <w:sz w:val="28"/>
          <w:szCs w:val="28"/>
          <w:lang w:eastAsia="ru-RU"/>
        </w:rPr>
        <w:lastRenderedPageBreak/>
        <w:t xml:space="preserve">направленных на достижение целей Стратегии – 2030. Результаты контроля размещены в сети Интернет </w:t>
      </w:r>
      <w:hyperlink r:id="rId9" w:history="1">
        <w:r w:rsidR="00304636" w:rsidRPr="00304636">
          <w:rPr>
            <w:rStyle w:val="ab"/>
            <w:rFonts w:ascii="Times New Roman" w:eastAsia="Calibri" w:hAnsi="Times New Roman"/>
            <w:sz w:val="28"/>
            <w:szCs w:val="28"/>
            <w:lang w:eastAsia="ru-RU"/>
          </w:rPr>
          <w:t xml:space="preserve">http://www.depeconom.admhmao.ru/ </w:t>
        </w:r>
        <w:proofErr w:type="spellStart"/>
        <w:r w:rsidR="00304636" w:rsidRPr="00304636">
          <w:rPr>
            <w:rStyle w:val="ab"/>
            <w:rFonts w:ascii="Times New Roman" w:eastAsia="Calibri" w:hAnsi="Times New Roman"/>
            <w:sz w:val="28"/>
            <w:szCs w:val="28"/>
            <w:lang w:eastAsia="ru-RU"/>
          </w:rPr>
          <w:t>wps</w:t>
        </w:r>
        <w:proofErr w:type="spellEnd"/>
        <w:r w:rsidR="00304636" w:rsidRPr="00304636">
          <w:rPr>
            <w:rStyle w:val="ab"/>
            <w:rFonts w:ascii="Times New Roman" w:eastAsia="Calibri" w:hAnsi="Times New Roman"/>
            <w:sz w:val="28"/>
            <w:szCs w:val="28"/>
            <w:lang w:eastAsia="ru-RU"/>
          </w:rPr>
          <w:t>/</w:t>
        </w:r>
        <w:proofErr w:type="spellStart"/>
        <w:r w:rsidR="00304636" w:rsidRPr="00304636">
          <w:rPr>
            <w:rStyle w:val="ab"/>
            <w:rFonts w:ascii="Times New Roman" w:eastAsia="Calibri" w:hAnsi="Times New Roman"/>
            <w:sz w:val="28"/>
            <w:szCs w:val="28"/>
            <w:lang w:eastAsia="ru-RU"/>
          </w:rPr>
          <w:t>portal</w:t>
        </w:r>
        <w:proofErr w:type="spellEnd"/>
        <w:r w:rsidR="00304636" w:rsidRPr="00304636">
          <w:rPr>
            <w:rStyle w:val="ab"/>
            <w:rFonts w:ascii="Times New Roman" w:eastAsia="Calibri" w:hAnsi="Times New Roman"/>
            <w:sz w:val="28"/>
            <w:szCs w:val="28"/>
            <w:lang w:eastAsia="ru-RU"/>
          </w:rPr>
          <w:t>/</w:t>
        </w:r>
        <w:proofErr w:type="spellStart"/>
        <w:r w:rsidR="00304636" w:rsidRPr="00304636">
          <w:rPr>
            <w:rStyle w:val="ab"/>
            <w:rFonts w:ascii="Times New Roman" w:eastAsia="Calibri" w:hAnsi="Times New Roman"/>
            <w:sz w:val="28"/>
            <w:szCs w:val="28"/>
            <w:lang w:eastAsia="ru-RU"/>
          </w:rPr>
          <w:t>ecr</w:t>
        </w:r>
        <w:proofErr w:type="spellEnd"/>
        <w:r w:rsidR="00304636" w:rsidRPr="00304636">
          <w:rPr>
            <w:rStyle w:val="ab"/>
            <w:rFonts w:ascii="Times New Roman" w:eastAsia="Calibri" w:hAnsi="Times New Roman"/>
            <w:sz w:val="28"/>
            <w:szCs w:val="28"/>
            <w:lang w:eastAsia="ru-RU"/>
          </w:rPr>
          <w:t>/</w:t>
        </w:r>
        <w:proofErr w:type="spellStart"/>
        <w:r w:rsidR="00304636" w:rsidRPr="00304636">
          <w:rPr>
            <w:rStyle w:val="ab"/>
            <w:rFonts w:ascii="Times New Roman" w:eastAsia="Calibri" w:hAnsi="Times New Roman"/>
            <w:sz w:val="28"/>
            <w:szCs w:val="28"/>
            <w:lang w:eastAsia="ru-RU"/>
          </w:rPr>
          <w:t>home</w:t>
        </w:r>
        <w:proofErr w:type="spellEnd"/>
        <w:r w:rsidR="00304636" w:rsidRPr="00304636">
          <w:rPr>
            <w:rStyle w:val="ab"/>
            <w:rFonts w:ascii="Times New Roman" w:eastAsia="Calibri" w:hAnsi="Times New Roman"/>
            <w:sz w:val="28"/>
            <w:szCs w:val="28"/>
            <w:lang w:eastAsia="ru-RU"/>
          </w:rPr>
          <w:t>/</w:t>
        </w:r>
        <w:proofErr w:type="spellStart"/>
        <w:r w:rsidR="00304636" w:rsidRPr="00304636">
          <w:rPr>
            <w:rStyle w:val="ab"/>
            <w:rFonts w:ascii="Times New Roman" w:eastAsia="Calibri" w:hAnsi="Times New Roman"/>
            <w:sz w:val="28"/>
            <w:szCs w:val="28"/>
            <w:lang w:eastAsia="ru-RU"/>
          </w:rPr>
          <w:t>celevye-programmy</w:t>
        </w:r>
        <w:proofErr w:type="spellEnd"/>
      </w:hyperlink>
      <w:r w:rsidRPr="00304636">
        <w:rPr>
          <w:rFonts w:ascii="Times New Roman" w:eastAsia="Calibri" w:hAnsi="Times New Roman" w:cs="Times New Roman"/>
          <w:sz w:val="28"/>
          <w:szCs w:val="28"/>
          <w:lang w:eastAsia="ru-RU"/>
        </w:rPr>
        <w:t>.</w:t>
      </w:r>
    </w:p>
    <w:p w:rsidR="00801570" w:rsidRPr="009B1920" w:rsidRDefault="00801570" w:rsidP="00801570">
      <w:pPr>
        <w:spacing w:after="0" w:line="360" w:lineRule="auto"/>
        <w:ind w:firstLine="709"/>
        <w:jc w:val="both"/>
        <w:rPr>
          <w:rFonts w:ascii="Times New Roman" w:hAnsi="Times New Roman" w:cs="Times New Roman"/>
          <w:sz w:val="28"/>
          <w:szCs w:val="28"/>
        </w:rPr>
      </w:pPr>
      <w:r w:rsidRPr="009B1920">
        <w:rPr>
          <w:rFonts w:ascii="Times New Roman" w:hAnsi="Times New Roman" w:cs="Times New Roman"/>
          <w:sz w:val="28"/>
          <w:szCs w:val="28"/>
        </w:rPr>
        <w:t>На сегодняшний день в автономном округе сформирована правовая основа долгосрочного бюджетного планирования, в соответствии с которой подготовка бюджета осуществляется в «программном» формате. Так, доля расходов бюджета автономного округа, формируемых на основе государственных программ с 23,7% в 2010 году возросла до 96,8% в 2015 году. В 2016 году этот показатель достиг 99,6%, что позволяет говорить о полном переходе на «программный бюджет».</w:t>
      </w:r>
    </w:p>
    <w:p w:rsidR="00801570" w:rsidRPr="009B1920" w:rsidRDefault="00801570" w:rsidP="00801570">
      <w:pPr>
        <w:spacing w:after="0" w:line="360" w:lineRule="auto"/>
        <w:ind w:firstLine="709"/>
        <w:jc w:val="both"/>
        <w:rPr>
          <w:rFonts w:ascii="Times New Roman" w:hAnsi="Times New Roman" w:cs="Times New Roman"/>
          <w:sz w:val="28"/>
          <w:szCs w:val="28"/>
        </w:rPr>
      </w:pPr>
      <w:r w:rsidRPr="009B1920">
        <w:rPr>
          <w:rFonts w:ascii="Times New Roman" w:hAnsi="Times New Roman" w:cs="Times New Roman"/>
          <w:sz w:val="28"/>
          <w:szCs w:val="28"/>
        </w:rPr>
        <w:t>Таким образом, соотношение приоритетов социально-экономического развития и бюджетной политики синхронизировано с институтом государственных программ автономного округа, при этом планирование бюджетных ассигнований на реализацию государственных программ автономного округа осуществляется с учетом результатов их реализации за предыдущий год, а также в тесной увязке с целевыми показателями, характеризующими достижение поставленных целей государственных программ.</w:t>
      </w:r>
    </w:p>
    <w:p w:rsidR="00801570" w:rsidRPr="009B1920" w:rsidRDefault="00801570" w:rsidP="00801570">
      <w:pPr>
        <w:spacing w:after="0" w:line="360" w:lineRule="auto"/>
        <w:ind w:firstLine="709"/>
        <w:jc w:val="both"/>
        <w:rPr>
          <w:rFonts w:ascii="Times New Roman" w:hAnsi="Times New Roman" w:cs="Times New Roman"/>
          <w:sz w:val="28"/>
          <w:szCs w:val="28"/>
        </w:rPr>
      </w:pPr>
      <w:r w:rsidRPr="009B1920">
        <w:rPr>
          <w:rFonts w:ascii="Times New Roman" w:hAnsi="Times New Roman" w:cs="Times New Roman"/>
          <w:sz w:val="28"/>
          <w:szCs w:val="28"/>
        </w:rPr>
        <w:t xml:space="preserve">В ходе реализации мероприятий </w:t>
      </w:r>
      <w:r w:rsidRPr="00F46A26">
        <w:rPr>
          <w:rFonts w:ascii="Times New Roman" w:hAnsi="Times New Roman" w:cs="Times New Roman"/>
          <w:b/>
          <w:sz w:val="28"/>
          <w:szCs w:val="28"/>
        </w:rPr>
        <w:t>подпрограммы II «Совершенствование государственного и муниципального управления»</w:t>
      </w:r>
      <w:r w:rsidRPr="009B1920">
        <w:rPr>
          <w:rFonts w:ascii="Times New Roman" w:hAnsi="Times New Roman" w:cs="Times New Roman"/>
          <w:sz w:val="28"/>
          <w:szCs w:val="28"/>
        </w:rPr>
        <w:t xml:space="preserve"> в 2015 году в автономном округе завершены работы по созданию сети многофункциональных центров предоставления государственных и муниципальных услуг (далее – МФЦ).</w:t>
      </w:r>
    </w:p>
    <w:p w:rsidR="00801570" w:rsidRPr="009B1920" w:rsidRDefault="00801570" w:rsidP="00801570">
      <w:pPr>
        <w:spacing w:after="0" w:line="360" w:lineRule="auto"/>
        <w:ind w:firstLine="709"/>
        <w:jc w:val="both"/>
        <w:rPr>
          <w:rFonts w:ascii="Times New Roman" w:hAnsi="Times New Roman" w:cs="Times New Roman"/>
          <w:sz w:val="28"/>
          <w:szCs w:val="28"/>
        </w:rPr>
      </w:pPr>
      <w:r w:rsidRPr="009B1920">
        <w:rPr>
          <w:rFonts w:ascii="Times New Roman" w:hAnsi="Times New Roman" w:cs="Times New Roman"/>
          <w:sz w:val="28"/>
          <w:szCs w:val="28"/>
        </w:rPr>
        <w:t xml:space="preserve">В течение 2015 года в автономном округе открыто: 1 МФЦ, </w:t>
      </w:r>
      <w:r w:rsidR="00DC286C">
        <w:rPr>
          <w:rFonts w:ascii="Times New Roman" w:hAnsi="Times New Roman" w:cs="Times New Roman"/>
          <w:sz w:val="28"/>
          <w:szCs w:val="28"/>
        </w:rPr>
        <w:br/>
      </w:r>
      <w:r w:rsidRPr="009B1920">
        <w:rPr>
          <w:rFonts w:ascii="Times New Roman" w:hAnsi="Times New Roman" w:cs="Times New Roman"/>
          <w:sz w:val="28"/>
          <w:szCs w:val="28"/>
        </w:rPr>
        <w:t xml:space="preserve">30 территориально обособленных структурных подразделений МФЦ, </w:t>
      </w:r>
      <w:r w:rsidR="00DC286C">
        <w:rPr>
          <w:rFonts w:ascii="Times New Roman" w:hAnsi="Times New Roman" w:cs="Times New Roman"/>
          <w:sz w:val="28"/>
          <w:szCs w:val="28"/>
        </w:rPr>
        <w:br/>
      </w:r>
      <w:r w:rsidRPr="009B1920">
        <w:rPr>
          <w:rFonts w:ascii="Times New Roman" w:hAnsi="Times New Roman" w:cs="Times New Roman"/>
          <w:sz w:val="28"/>
          <w:szCs w:val="28"/>
        </w:rPr>
        <w:t xml:space="preserve">52 дополнительных окна в ранее открытых 20 МФЦ и их структурных подразделениях. </w:t>
      </w:r>
      <w:r w:rsidR="00AD74E8" w:rsidRPr="009B1920">
        <w:rPr>
          <w:rFonts w:ascii="Times New Roman" w:hAnsi="Times New Roman" w:cs="Times New Roman"/>
          <w:sz w:val="28"/>
          <w:szCs w:val="28"/>
        </w:rPr>
        <w:t xml:space="preserve">На 1 января 2016 года </w:t>
      </w:r>
      <w:r w:rsidRPr="009B1920">
        <w:rPr>
          <w:rFonts w:ascii="Times New Roman" w:hAnsi="Times New Roman" w:cs="Times New Roman"/>
          <w:sz w:val="28"/>
          <w:szCs w:val="28"/>
        </w:rPr>
        <w:t xml:space="preserve">в автономном округе действовало 21 МФЦ, 55 территориально обособленных структурных подразделений </w:t>
      </w:r>
      <w:r w:rsidRPr="009B1920">
        <w:rPr>
          <w:rFonts w:ascii="Times New Roman" w:hAnsi="Times New Roman" w:cs="Times New Roman"/>
          <w:sz w:val="28"/>
          <w:szCs w:val="28"/>
        </w:rPr>
        <w:lastRenderedPageBreak/>
        <w:t>МФЦ, с общим количеством окон – 402 (100,0% от числа запланированных к концу 2015 года).</w:t>
      </w:r>
    </w:p>
    <w:p w:rsidR="00F81F98" w:rsidRPr="009B1920" w:rsidRDefault="00F81F98" w:rsidP="00F81F98">
      <w:pPr>
        <w:spacing w:after="0" w:line="360" w:lineRule="auto"/>
        <w:ind w:firstLine="709"/>
        <w:jc w:val="both"/>
        <w:rPr>
          <w:rFonts w:ascii="Times New Roman" w:eastAsia="Calibri" w:hAnsi="Times New Roman" w:cs="Times New Roman"/>
          <w:sz w:val="28"/>
          <w:szCs w:val="28"/>
        </w:rPr>
      </w:pPr>
      <w:r w:rsidRPr="009B1920">
        <w:rPr>
          <w:rFonts w:ascii="Times New Roman" w:eastAsia="Calibri" w:hAnsi="Times New Roman" w:cs="Times New Roman"/>
          <w:sz w:val="28"/>
          <w:szCs w:val="28"/>
        </w:rPr>
        <w:t>В действующих МФЦ обеспечена возможность получения более 200 видов государственных и муниципальных услуг (</w:t>
      </w:r>
      <w:proofErr w:type="spellStart"/>
      <w:r w:rsidRPr="009B1920">
        <w:rPr>
          <w:rFonts w:ascii="Times New Roman" w:eastAsia="Calibri" w:hAnsi="Times New Roman" w:cs="Times New Roman"/>
          <w:sz w:val="28"/>
          <w:szCs w:val="28"/>
        </w:rPr>
        <w:t>подуслуг</w:t>
      </w:r>
      <w:proofErr w:type="spellEnd"/>
      <w:r w:rsidRPr="009B1920">
        <w:rPr>
          <w:rFonts w:ascii="Times New Roman" w:eastAsia="Calibri" w:hAnsi="Times New Roman" w:cs="Times New Roman"/>
          <w:sz w:val="28"/>
          <w:szCs w:val="28"/>
        </w:rPr>
        <w:t>), в том числе полный перечень государственных услуг (33 услуги) федеральных органов исполнительной власти и органов государственных внебюджетных фондов, установленных федеральным законодательством.</w:t>
      </w:r>
    </w:p>
    <w:p w:rsidR="00F81F98" w:rsidRDefault="00F81F98" w:rsidP="00F81F98">
      <w:pPr>
        <w:spacing w:after="0" w:line="360" w:lineRule="auto"/>
        <w:ind w:firstLine="709"/>
        <w:jc w:val="both"/>
        <w:rPr>
          <w:rFonts w:ascii="Times New Roman" w:eastAsia="Calibri" w:hAnsi="Times New Roman" w:cs="Times New Roman"/>
          <w:sz w:val="28"/>
          <w:szCs w:val="28"/>
        </w:rPr>
      </w:pPr>
      <w:r w:rsidRPr="009B1920">
        <w:rPr>
          <w:rFonts w:ascii="Times New Roman" w:eastAsia="Calibri" w:hAnsi="Times New Roman" w:cs="Times New Roman"/>
          <w:sz w:val="28"/>
          <w:szCs w:val="28"/>
        </w:rPr>
        <w:t>За 2015 год в МФЦ оказано 1 419,9 тыс. услуг (федеральных, региональных и муниципальных), включая услуги информирования и консультирования, что на 88,8 % превышает уровень 2014 года (752,0 тыс. услуг).</w:t>
      </w:r>
    </w:p>
    <w:p w:rsidR="00DC286C" w:rsidRPr="009B1920" w:rsidRDefault="00DC286C" w:rsidP="00F81F98">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Посредством реализации мероприятий </w:t>
      </w:r>
      <w:r w:rsidR="0092589F">
        <w:rPr>
          <w:rFonts w:ascii="Times New Roman" w:eastAsia="Calibri" w:hAnsi="Times New Roman" w:cs="Times New Roman"/>
          <w:sz w:val="28"/>
          <w:szCs w:val="28"/>
        </w:rPr>
        <w:t>П</w:t>
      </w:r>
      <w:r w:rsidR="0092589F">
        <w:rPr>
          <w:rFonts w:ascii="Times New Roman" w:eastAsia="Calibri" w:hAnsi="Times New Roman" w:cs="Times New Roman"/>
          <w:sz w:val="28"/>
          <w:szCs w:val="28"/>
        </w:rPr>
        <w:t>рограммы</w:t>
      </w:r>
      <w:r w:rsidR="0092589F">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обеспечен </w:t>
      </w:r>
      <w:r w:rsidRPr="008F0FA0">
        <w:rPr>
          <w:rFonts w:ascii="Times New Roman" w:eastAsia="Calibri" w:hAnsi="Times New Roman" w:cs="Times New Roman"/>
          <w:sz w:val="28"/>
          <w:szCs w:val="28"/>
        </w:rPr>
        <w:t>доступ к получению государственных и муниципальных услуг по принципу «одного окна» по месту пребывания, в том числе в МФЦ</w:t>
      </w:r>
      <w:r w:rsidRPr="00DC286C">
        <w:rPr>
          <w:rFonts w:ascii="Times New Roman" w:eastAsia="Calibri" w:hAnsi="Times New Roman" w:cs="Times New Roman"/>
          <w:sz w:val="28"/>
          <w:szCs w:val="28"/>
        </w:rPr>
        <w:t xml:space="preserve"> </w:t>
      </w:r>
      <w:r>
        <w:rPr>
          <w:rFonts w:ascii="Times New Roman" w:eastAsia="Calibri" w:hAnsi="Times New Roman" w:cs="Times New Roman"/>
          <w:sz w:val="28"/>
          <w:szCs w:val="28"/>
        </w:rPr>
        <w:t>практически 100</w:t>
      </w:r>
      <w:r w:rsidRPr="008F0FA0">
        <w:rPr>
          <w:rFonts w:ascii="Times New Roman" w:eastAsia="Calibri" w:hAnsi="Times New Roman" w:cs="Times New Roman"/>
          <w:sz w:val="28"/>
          <w:szCs w:val="28"/>
        </w:rPr>
        <w:t>% граждан (99,3 %)</w:t>
      </w:r>
      <w:r>
        <w:rPr>
          <w:rFonts w:ascii="Times New Roman" w:eastAsia="Calibri" w:hAnsi="Times New Roman" w:cs="Times New Roman"/>
          <w:sz w:val="28"/>
          <w:szCs w:val="28"/>
        </w:rPr>
        <w:t xml:space="preserve"> (значение, установленное Указом Президента РФ не менее 90 % к 2015 году – перевыполнено).</w:t>
      </w:r>
    </w:p>
    <w:p w:rsidR="00801570" w:rsidRPr="009B1920" w:rsidRDefault="00F81F98" w:rsidP="00801570">
      <w:pPr>
        <w:spacing w:after="0" w:line="360" w:lineRule="auto"/>
        <w:ind w:firstLine="709"/>
        <w:jc w:val="both"/>
        <w:rPr>
          <w:rFonts w:ascii="Times New Roman" w:eastAsia="Calibri" w:hAnsi="Times New Roman" w:cs="Times New Roman"/>
          <w:sz w:val="28"/>
          <w:szCs w:val="28"/>
        </w:rPr>
      </w:pPr>
      <w:r w:rsidRPr="00F46A26">
        <w:rPr>
          <w:rFonts w:ascii="Times New Roman" w:eastAsia="Calibri" w:hAnsi="Times New Roman" w:cs="Times New Roman"/>
          <w:b/>
          <w:sz w:val="28"/>
          <w:szCs w:val="28"/>
        </w:rPr>
        <w:t xml:space="preserve">По подпрограмме </w:t>
      </w:r>
      <w:r w:rsidR="003F5B9F" w:rsidRPr="00F46A26">
        <w:rPr>
          <w:rFonts w:ascii="Times New Roman" w:eastAsia="Calibri" w:hAnsi="Times New Roman" w:cs="Times New Roman"/>
          <w:b/>
          <w:sz w:val="28"/>
          <w:szCs w:val="28"/>
        </w:rPr>
        <w:t xml:space="preserve">III </w:t>
      </w:r>
      <w:r w:rsidRPr="00F46A26">
        <w:rPr>
          <w:rFonts w:ascii="Times New Roman" w:eastAsia="Calibri" w:hAnsi="Times New Roman" w:cs="Times New Roman"/>
          <w:b/>
          <w:sz w:val="28"/>
          <w:szCs w:val="28"/>
        </w:rPr>
        <w:t>«Дополнительное пенсионное обеспечение отдельных категорий граждан»</w:t>
      </w:r>
    </w:p>
    <w:p w:rsidR="00F81F98" w:rsidRPr="009B1920" w:rsidRDefault="00F81F98" w:rsidP="00801570">
      <w:pPr>
        <w:spacing w:after="0" w:line="360" w:lineRule="auto"/>
        <w:ind w:firstLine="709"/>
        <w:jc w:val="both"/>
        <w:rPr>
          <w:rFonts w:ascii="Times New Roman" w:eastAsia="Calibri" w:hAnsi="Times New Roman" w:cs="Times New Roman"/>
          <w:sz w:val="28"/>
          <w:szCs w:val="28"/>
        </w:rPr>
      </w:pPr>
      <w:r w:rsidRPr="009B1920">
        <w:rPr>
          <w:rFonts w:ascii="Times New Roman" w:eastAsia="Calibri" w:hAnsi="Times New Roman" w:cs="Times New Roman"/>
          <w:sz w:val="28"/>
          <w:szCs w:val="28"/>
        </w:rPr>
        <w:t>Дополнительная пенсия из бюджета автономного округа назначена 213,95 тыс. человек (увеличение получателей дополнительной пенсии за 2015 год составило 3,1 тыс. человек) (52,4 % от численности получателей пенсий, состоящих на учете в Государственном учреждении – Отделении Пенсионного фонда Российской Федерации по Ханты-Мансийскому автономному округу – Югре – 408,3 тыс. человек).</w:t>
      </w:r>
    </w:p>
    <w:p w:rsidR="00801570" w:rsidRPr="009B1920" w:rsidRDefault="00801570" w:rsidP="00801570">
      <w:pPr>
        <w:spacing w:after="0" w:line="360" w:lineRule="auto"/>
        <w:ind w:firstLine="709"/>
        <w:jc w:val="both"/>
        <w:rPr>
          <w:rFonts w:ascii="Times New Roman" w:hAnsi="Times New Roman" w:cs="Times New Roman"/>
          <w:sz w:val="28"/>
          <w:szCs w:val="28"/>
        </w:rPr>
      </w:pPr>
      <w:r w:rsidRPr="009B1920">
        <w:rPr>
          <w:rFonts w:ascii="Times New Roman" w:hAnsi="Times New Roman" w:cs="Times New Roman"/>
          <w:sz w:val="28"/>
          <w:szCs w:val="28"/>
        </w:rPr>
        <w:t>Средний размер дохода пенсионера по итогам 2015 года увеличился на 10,3% по отношению к 2014 году и составил 18</w:t>
      </w:r>
      <w:r w:rsidR="003F5B9F">
        <w:rPr>
          <w:rFonts w:ascii="Times New Roman" w:hAnsi="Times New Roman" w:cs="Times New Roman"/>
          <w:sz w:val="28"/>
          <w:szCs w:val="28"/>
        </w:rPr>
        <w:t> </w:t>
      </w:r>
      <w:r w:rsidRPr="009B1920">
        <w:rPr>
          <w:rFonts w:ascii="Times New Roman" w:hAnsi="Times New Roman" w:cs="Times New Roman"/>
          <w:sz w:val="28"/>
          <w:szCs w:val="28"/>
        </w:rPr>
        <w:t>843,0 рубля (по Р</w:t>
      </w:r>
      <w:r w:rsidR="00F81F98" w:rsidRPr="009B1920">
        <w:rPr>
          <w:rFonts w:ascii="Times New Roman" w:hAnsi="Times New Roman" w:cs="Times New Roman"/>
          <w:sz w:val="28"/>
          <w:szCs w:val="28"/>
        </w:rPr>
        <w:t xml:space="preserve">оссийской </w:t>
      </w:r>
      <w:r w:rsidRPr="009B1920">
        <w:rPr>
          <w:rFonts w:ascii="Times New Roman" w:hAnsi="Times New Roman" w:cs="Times New Roman"/>
          <w:sz w:val="28"/>
          <w:szCs w:val="28"/>
        </w:rPr>
        <w:t>Ф</w:t>
      </w:r>
      <w:r w:rsidR="00F81F98" w:rsidRPr="009B1920">
        <w:rPr>
          <w:rFonts w:ascii="Times New Roman" w:hAnsi="Times New Roman" w:cs="Times New Roman"/>
          <w:sz w:val="28"/>
          <w:szCs w:val="28"/>
        </w:rPr>
        <w:t>едерации</w:t>
      </w:r>
      <w:r w:rsidRPr="009B1920">
        <w:rPr>
          <w:rFonts w:ascii="Times New Roman" w:hAnsi="Times New Roman" w:cs="Times New Roman"/>
          <w:sz w:val="28"/>
          <w:szCs w:val="28"/>
        </w:rPr>
        <w:t xml:space="preserve"> – 12</w:t>
      </w:r>
      <w:r w:rsidR="008F7693">
        <w:rPr>
          <w:rFonts w:ascii="Times New Roman" w:hAnsi="Times New Roman" w:cs="Times New Roman"/>
          <w:sz w:val="28"/>
          <w:szCs w:val="28"/>
        </w:rPr>
        <w:t> </w:t>
      </w:r>
      <w:r w:rsidRPr="009B1920">
        <w:rPr>
          <w:rFonts w:ascii="Times New Roman" w:hAnsi="Times New Roman" w:cs="Times New Roman"/>
          <w:sz w:val="28"/>
          <w:szCs w:val="28"/>
        </w:rPr>
        <w:t>460,7 рублей). Средний размер дополнительной пенсии в 201</w:t>
      </w:r>
      <w:r w:rsidR="00F81F98" w:rsidRPr="009B1920">
        <w:rPr>
          <w:rFonts w:ascii="Times New Roman" w:hAnsi="Times New Roman" w:cs="Times New Roman"/>
          <w:sz w:val="28"/>
          <w:szCs w:val="28"/>
        </w:rPr>
        <w:t>5 году составил 1</w:t>
      </w:r>
      <w:r w:rsidR="008F7693">
        <w:rPr>
          <w:rFonts w:ascii="Times New Roman" w:hAnsi="Times New Roman" w:cs="Times New Roman"/>
          <w:sz w:val="28"/>
          <w:szCs w:val="28"/>
        </w:rPr>
        <w:t> </w:t>
      </w:r>
      <w:r w:rsidR="00F81F98" w:rsidRPr="009B1920">
        <w:rPr>
          <w:rFonts w:ascii="Times New Roman" w:hAnsi="Times New Roman" w:cs="Times New Roman"/>
          <w:sz w:val="28"/>
          <w:szCs w:val="28"/>
        </w:rPr>
        <w:t>125,0 рублей.</w:t>
      </w:r>
    </w:p>
    <w:p w:rsidR="00801570" w:rsidRPr="00886C24" w:rsidRDefault="00801570" w:rsidP="00801570">
      <w:pPr>
        <w:spacing w:after="0" w:line="360" w:lineRule="auto"/>
        <w:ind w:firstLine="709"/>
        <w:jc w:val="both"/>
        <w:rPr>
          <w:rFonts w:ascii="Times New Roman" w:hAnsi="Times New Roman" w:cs="Times New Roman"/>
          <w:sz w:val="28"/>
          <w:szCs w:val="28"/>
        </w:rPr>
      </w:pPr>
      <w:r w:rsidRPr="00F46A26">
        <w:rPr>
          <w:rFonts w:ascii="Times New Roman" w:hAnsi="Times New Roman" w:cs="Times New Roman"/>
          <w:b/>
          <w:sz w:val="28"/>
          <w:szCs w:val="28"/>
        </w:rPr>
        <w:lastRenderedPageBreak/>
        <w:t xml:space="preserve">По подпрограмме </w:t>
      </w:r>
      <w:r w:rsidR="003F5B9F" w:rsidRPr="00F46A26">
        <w:rPr>
          <w:rFonts w:ascii="Times New Roman" w:hAnsi="Times New Roman" w:cs="Times New Roman"/>
          <w:b/>
          <w:sz w:val="28"/>
          <w:szCs w:val="28"/>
          <w:lang w:val="en-US"/>
        </w:rPr>
        <w:t>IV</w:t>
      </w:r>
      <w:r w:rsidR="003F5B9F" w:rsidRPr="00F46A26">
        <w:rPr>
          <w:rFonts w:ascii="Times New Roman" w:hAnsi="Times New Roman" w:cs="Times New Roman"/>
          <w:b/>
          <w:sz w:val="28"/>
          <w:szCs w:val="28"/>
        </w:rPr>
        <w:t xml:space="preserve"> </w:t>
      </w:r>
      <w:r w:rsidRPr="00F46A26">
        <w:rPr>
          <w:rFonts w:ascii="Times New Roman" w:hAnsi="Times New Roman" w:cs="Times New Roman"/>
          <w:b/>
          <w:sz w:val="28"/>
          <w:szCs w:val="28"/>
        </w:rPr>
        <w:t>«Развитие конкуренции и потребительского рынка»</w:t>
      </w:r>
    </w:p>
    <w:p w:rsidR="00886C24" w:rsidRPr="00270B31" w:rsidRDefault="00886C24" w:rsidP="00886C24">
      <w:pPr>
        <w:spacing w:after="0" w:line="360" w:lineRule="auto"/>
        <w:ind w:firstLine="709"/>
        <w:jc w:val="both"/>
        <w:rPr>
          <w:rFonts w:ascii="Times New Roman" w:hAnsi="Times New Roman" w:cs="Times New Roman"/>
          <w:sz w:val="28"/>
          <w:szCs w:val="28"/>
        </w:rPr>
      </w:pPr>
      <w:proofErr w:type="gramStart"/>
      <w:r w:rsidRPr="00270B31">
        <w:rPr>
          <w:rFonts w:ascii="Times New Roman" w:hAnsi="Times New Roman" w:cs="Times New Roman"/>
          <w:sz w:val="28"/>
          <w:szCs w:val="28"/>
        </w:rPr>
        <w:t xml:space="preserve">В 2015 году распоряжением Правительства автономного округа </w:t>
      </w:r>
      <w:r w:rsidR="00270B31" w:rsidRPr="00270B31">
        <w:rPr>
          <w:rFonts w:ascii="Times New Roman" w:hAnsi="Times New Roman" w:cs="Times New Roman"/>
          <w:sz w:val="28"/>
          <w:szCs w:val="28"/>
        </w:rPr>
        <w:br/>
      </w:r>
      <w:r w:rsidRPr="00270B31">
        <w:rPr>
          <w:rFonts w:ascii="Times New Roman" w:hAnsi="Times New Roman" w:cs="Times New Roman"/>
          <w:sz w:val="28"/>
          <w:szCs w:val="28"/>
        </w:rPr>
        <w:t>от 10 июля 2015 года № 387-рп «О перечне приоритетных и социально-значимых рынков товаров и услуг, плане мероприятий («дорожной карте») по содействию развитию конкуренции в Ханты-Мансийском автономном округе – Югре и признании утратившими силу распоряжения Правительства Ханты-Мансийского автономного округа – Югры от 4 июля 2014 года № 382-рп «О плане мероприятий («дорожной карте») «Развитие конкуренции в Ханты-Мансийском</w:t>
      </w:r>
      <w:proofErr w:type="gramEnd"/>
      <w:r w:rsidRPr="00270B31">
        <w:rPr>
          <w:rFonts w:ascii="Times New Roman" w:hAnsi="Times New Roman" w:cs="Times New Roman"/>
          <w:sz w:val="28"/>
          <w:szCs w:val="28"/>
        </w:rPr>
        <w:t xml:space="preserve"> </w:t>
      </w:r>
      <w:proofErr w:type="gramStart"/>
      <w:r w:rsidRPr="00270B31">
        <w:rPr>
          <w:rFonts w:ascii="Times New Roman" w:hAnsi="Times New Roman" w:cs="Times New Roman"/>
          <w:sz w:val="28"/>
          <w:szCs w:val="28"/>
        </w:rPr>
        <w:t xml:space="preserve">автономном округе – Югре» (далее – распоряжение № 387-рп) перечень рынков дополнен 3 рынками (рынок услуг в сфере культуры, рынок услуг социального обслуживания, рынок услуг в сфере физической культуры и спорта), предусмотрены дополнительные мероприятия и целевые показатели на 2017-2018 годы. </w:t>
      </w:r>
      <w:proofErr w:type="gramEnd"/>
    </w:p>
    <w:p w:rsidR="00886C24" w:rsidRPr="00270B31" w:rsidRDefault="00886C24" w:rsidP="00886C24">
      <w:pPr>
        <w:spacing w:after="0" w:line="360" w:lineRule="auto"/>
        <w:ind w:firstLine="709"/>
        <w:jc w:val="both"/>
        <w:rPr>
          <w:rFonts w:ascii="Times New Roman" w:hAnsi="Times New Roman" w:cs="Times New Roman"/>
          <w:sz w:val="28"/>
          <w:szCs w:val="28"/>
        </w:rPr>
      </w:pPr>
      <w:r w:rsidRPr="00270B31">
        <w:rPr>
          <w:rFonts w:ascii="Times New Roman" w:hAnsi="Times New Roman" w:cs="Times New Roman"/>
          <w:sz w:val="28"/>
          <w:szCs w:val="28"/>
        </w:rPr>
        <w:t xml:space="preserve">В декабре 2015 года в распоряжение № 387-рп внесены изменения с учетом принятого стандарта на федеральном уровне в части дополнения перечня рынков </w:t>
      </w:r>
      <w:r w:rsidR="00270B31" w:rsidRPr="00270B31">
        <w:rPr>
          <w:rFonts w:ascii="Times New Roman" w:hAnsi="Times New Roman" w:cs="Times New Roman"/>
          <w:sz w:val="28"/>
          <w:szCs w:val="28"/>
        </w:rPr>
        <w:t xml:space="preserve">еще </w:t>
      </w:r>
      <w:r w:rsidRPr="00270B31">
        <w:rPr>
          <w:rFonts w:ascii="Times New Roman" w:hAnsi="Times New Roman" w:cs="Times New Roman"/>
          <w:sz w:val="28"/>
          <w:szCs w:val="28"/>
        </w:rPr>
        <w:t>3 рынками (рынок услуг детского отдыха и оздоровления, рынок услуг дополнительного образования детей, рынок услуг психолого-педагогического сопровождения детей с ограниченными возможностями здоровья), дополнительными мероприятиями и целевыми показателями.</w:t>
      </w:r>
    </w:p>
    <w:p w:rsidR="00886C24" w:rsidRPr="00270B31" w:rsidRDefault="00886C24" w:rsidP="00886C24">
      <w:pPr>
        <w:spacing w:after="0" w:line="360" w:lineRule="auto"/>
        <w:ind w:firstLine="709"/>
        <w:jc w:val="both"/>
        <w:rPr>
          <w:rFonts w:ascii="Times New Roman" w:hAnsi="Times New Roman" w:cs="Times New Roman"/>
          <w:sz w:val="28"/>
          <w:szCs w:val="28"/>
        </w:rPr>
      </w:pPr>
      <w:r w:rsidRPr="00270B31">
        <w:rPr>
          <w:rFonts w:ascii="Times New Roman" w:hAnsi="Times New Roman" w:cs="Times New Roman"/>
          <w:sz w:val="28"/>
          <w:szCs w:val="28"/>
        </w:rPr>
        <w:t>Мероприятия по содействию развития конкуренции осуществляются исполнительными органами государственной власти автономного округа во взаимодействии с органами местного самоуправления. В декабре 2015 года заключено соглашение между Правительством автономного округа и органами местного самоуправления городских округов и муниципальных районов по внедрению в автономном округе стандарта развития конкуренции</w:t>
      </w:r>
      <w:r w:rsidR="00297451" w:rsidRPr="00270B31">
        <w:rPr>
          <w:rFonts w:ascii="Times New Roman" w:hAnsi="Times New Roman" w:cs="Times New Roman"/>
          <w:sz w:val="28"/>
          <w:szCs w:val="28"/>
        </w:rPr>
        <w:t>.</w:t>
      </w:r>
    </w:p>
    <w:p w:rsidR="000A3566" w:rsidRPr="00270B31" w:rsidRDefault="000A3566" w:rsidP="00886C24">
      <w:pPr>
        <w:spacing w:after="0" w:line="360" w:lineRule="auto"/>
        <w:ind w:firstLine="709"/>
        <w:jc w:val="both"/>
        <w:rPr>
          <w:rFonts w:ascii="Times New Roman" w:hAnsi="Times New Roman" w:cs="Times New Roman"/>
          <w:sz w:val="28"/>
          <w:szCs w:val="28"/>
        </w:rPr>
      </w:pPr>
      <w:r w:rsidRPr="00270B31">
        <w:rPr>
          <w:rFonts w:ascii="Times New Roman" w:hAnsi="Times New Roman" w:cs="Times New Roman"/>
          <w:sz w:val="28"/>
          <w:szCs w:val="28"/>
        </w:rPr>
        <w:lastRenderedPageBreak/>
        <w:t>Осуществлялась государственная поддержка реализации инвестиционных проектов в сфере потребительского рынка, что способствует созданию крупных объектов окружного значения, где наряду с сетевыми операторами осуществляет деятельность малый бизнес, в том числе посредством франчайзинга. Создание крупных центров способствует обеспечению ценовой доступности товаров за счет привлечения сетевых операторов, повышает качество обслуживания, позволяет населению совершать комплексную покупку, а, кроме того, такие комплексы являются не только торговыми, но и досуговыми. Общий экономический эффект достигается за счет создания новых рабочих мест и увеличения налоговых поступлений в бюджет автономного округа.</w:t>
      </w:r>
    </w:p>
    <w:p w:rsidR="00776EAE" w:rsidRPr="00270B31" w:rsidRDefault="00776EAE" w:rsidP="00776EAE">
      <w:pPr>
        <w:spacing w:after="0" w:line="360" w:lineRule="auto"/>
        <w:ind w:firstLine="709"/>
        <w:jc w:val="both"/>
        <w:rPr>
          <w:rFonts w:ascii="Times New Roman" w:hAnsi="Times New Roman" w:cs="Times New Roman"/>
          <w:sz w:val="28"/>
          <w:szCs w:val="28"/>
        </w:rPr>
      </w:pPr>
      <w:r w:rsidRPr="00270B31">
        <w:rPr>
          <w:rFonts w:ascii="Times New Roman" w:hAnsi="Times New Roman" w:cs="Times New Roman"/>
          <w:sz w:val="28"/>
          <w:szCs w:val="28"/>
        </w:rPr>
        <w:t>В целях повышения доступности услуг розничной торговли для населения, а также повышения финансовой доступности аренды торговых объектов в автономном округе совместно с предпринимательским сообществом в 2015 году продолжена работа по увеличению количества нестационарных торговых объектов, реализующих сельскохозяйственную продукцию и продовольственные товары.</w:t>
      </w:r>
    </w:p>
    <w:p w:rsidR="00776EAE" w:rsidRPr="00270B31" w:rsidRDefault="00776EAE" w:rsidP="00776EAE">
      <w:pPr>
        <w:spacing w:after="0" w:line="360" w:lineRule="auto"/>
        <w:ind w:firstLine="709"/>
        <w:jc w:val="both"/>
        <w:rPr>
          <w:rFonts w:ascii="Times New Roman" w:hAnsi="Times New Roman" w:cs="Times New Roman"/>
          <w:sz w:val="28"/>
          <w:szCs w:val="28"/>
        </w:rPr>
      </w:pPr>
      <w:r w:rsidRPr="00270B31">
        <w:rPr>
          <w:rFonts w:ascii="Times New Roman" w:hAnsi="Times New Roman" w:cs="Times New Roman"/>
          <w:sz w:val="28"/>
          <w:szCs w:val="28"/>
        </w:rPr>
        <w:t xml:space="preserve">Обеспеченность населения площадью торговых объектов в автономном округе увеличилась с 893,4 </w:t>
      </w:r>
      <w:proofErr w:type="spellStart"/>
      <w:r w:rsidRPr="00270B31">
        <w:rPr>
          <w:rFonts w:ascii="Times New Roman" w:hAnsi="Times New Roman" w:cs="Times New Roman"/>
          <w:sz w:val="28"/>
          <w:szCs w:val="28"/>
        </w:rPr>
        <w:t>кв</w:t>
      </w:r>
      <w:proofErr w:type="gramStart"/>
      <w:r w:rsidRPr="00270B31">
        <w:rPr>
          <w:rFonts w:ascii="Times New Roman" w:hAnsi="Times New Roman" w:cs="Times New Roman"/>
          <w:sz w:val="28"/>
          <w:szCs w:val="28"/>
        </w:rPr>
        <w:t>.м</w:t>
      </w:r>
      <w:proofErr w:type="spellEnd"/>
      <w:proofErr w:type="gramEnd"/>
      <w:r w:rsidRPr="00270B31">
        <w:rPr>
          <w:rFonts w:ascii="Times New Roman" w:hAnsi="Times New Roman" w:cs="Times New Roman"/>
          <w:sz w:val="28"/>
          <w:szCs w:val="28"/>
        </w:rPr>
        <w:t xml:space="preserve"> на тыс. жителей в 2014 году до 1 009,0 </w:t>
      </w:r>
      <w:proofErr w:type="spellStart"/>
      <w:r w:rsidRPr="00270B31">
        <w:rPr>
          <w:rFonts w:ascii="Times New Roman" w:hAnsi="Times New Roman" w:cs="Times New Roman"/>
          <w:sz w:val="28"/>
          <w:szCs w:val="28"/>
        </w:rPr>
        <w:t>кв.м</w:t>
      </w:r>
      <w:proofErr w:type="spellEnd"/>
      <w:r w:rsidRPr="00270B31">
        <w:rPr>
          <w:rFonts w:ascii="Times New Roman" w:hAnsi="Times New Roman" w:cs="Times New Roman"/>
          <w:sz w:val="28"/>
          <w:szCs w:val="28"/>
        </w:rPr>
        <w:t xml:space="preserve"> на тыс. жителей по итогам 2015 года.</w:t>
      </w:r>
    </w:p>
    <w:p w:rsidR="00776EAE" w:rsidRPr="00270B31" w:rsidRDefault="00776EAE" w:rsidP="00776EAE">
      <w:pPr>
        <w:spacing w:after="0" w:line="360" w:lineRule="auto"/>
        <w:ind w:firstLine="709"/>
        <w:jc w:val="both"/>
        <w:rPr>
          <w:rFonts w:ascii="Times New Roman" w:hAnsi="Times New Roman" w:cs="Times New Roman"/>
          <w:sz w:val="28"/>
          <w:szCs w:val="28"/>
        </w:rPr>
      </w:pPr>
      <w:proofErr w:type="gramStart"/>
      <w:r w:rsidRPr="00270B31">
        <w:rPr>
          <w:rFonts w:ascii="Times New Roman" w:hAnsi="Times New Roman" w:cs="Times New Roman"/>
          <w:sz w:val="28"/>
          <w:szCs w:val="28"/>
        </w:rPr>
        <w:t>Функционирует 2</w:t>
      </w:r>
      <w:r w:rsidR="00270B31" w:rsidRPr="00270B31">
        <w:rPr>
          <w:rFonts w:ascii="Times New Roman" w:hAnsi="Times New Roman" w:cs="Times New Roman"/>
          <w:sz w:val="28"/>
          <w:szCs w:val="28"/>
        </w:rPr>
        <w:t> </w:t>
      </w:r>
      <w:r w:rsidRPr="00270B31">
        <w:rPr>
          <w:rFonts w:ascii="Times New Roman" w:hAnsi="Times New Roman" w:cs="Times New Roman"/>
          <w:sz w:val="28"/>
          <w:szCs w:val="28"/>
        </w:rPr>
        <w:t>055</w:t>
      </w:r>
      <w:r w:rsidR="00270B31" w:rsidRPr="00270B31">
        <w:rPr>
          <w:rFonts w:ascii="Times New Roman" w:hAnsi="Times New Roman" w:cs="Times New Roman"/>
          <w:sz w:val="28"/>
          <w:szCs w:val="28"/>
        </w:rPr>
        <w:t xml:space="preserve"> </w:t>
      </w:r>
      <w:r w:rsidRPr="00270B31">
        <w:rPr>
          <w:rFonts w:ascii="Times New Roman" w:hAnsi="Times New Roman" w:cs="Times New Roman"/>
          <w:sz w:val="28"/>
          <w:szCs w:val="28"/>
        </w:rPr>
        <w:t>нестационарных торговых объектов, в том числе 1</w:t>
      </w:r>
      <w:r w:rsidR="00270B31" w:rsidRPr="00270B31">
        <w:rPr>
          <w:rFonts w:ascii="Times New Roman" w:hAnsi="Times New Roman" w:cs="Times New Roman"/>
          <w:sz w:val="28"/>
          <w:szCs w:val="28"/>
        </w:rPr>
        <w:t> </w:t>
      </w:r>
      <w:r w:rsidRPr="00270B31">
        <w:rPr>
          <w:rFonts w:ascii="Times New Roman" w:hAnsi="Times New Roman" w:cs="Times New Roman"/>
          <w:sz w:val="28"/>
          <w:szCs w:val="28"/>
        </w:rPr>
        <w:t>467</w:t>
      </w:r>
      <w:r w:rsidR="00270B31" w:rsidRPr="00270B31">
        <w:rPr>
          <w:rFonts w:ascii="Times New Roman" w:hAnsi="Times New Roman" w:cs="Times New Roman"/>
          <w:sz w:val="28"/>
          <w:szCs w:val="28"/>
        </w:rPr>
        <w:t xml:space="preserve"> </w:t>
      </w:r>
      <w:r w:rsidRPr="00270B31">
        <w:rPr>
          <w:rFonts w:ascii="Times New Roman" w:hAnsi="Times New Roman" w:cs="Times New Roman"/>
          <w:sz w:val="28"/>
          <w:szCs w:val="28"/>
        </w:rPr>
        <w:t>павильонов, 448 киосков, 140 прочих объектов (включая мобильные), 12 розничных рынков в 9 муниципальных образованиях, в том числе 11 универсальных, 1 сельскохозяйственный.</w:t>
      </w:r>
      <w:proofErr w:type="gramEnd"/>
    </w:p>
    <w:p w:rsidR="003546BC" w:rsidRPr="00297451" w:rsidRDefault="003546BC" w:rsidP="00801570">
      <w:pPr>
        <w:spacing w:after="0" w:line="360" w:lineRule="auto"/>
        <w:ind w:firstLine="709"/>
        <w:jc w:val="both"/>
        <w:rPr>
          <w:rFonts w:ascii="Times New Roman" w:hAnsi="Times New Roman" w:cs="Times New Roman"/>
          <w:sz w:val="28"/>
          <w:szCs w:val="28"/>
        </w:rPr>
      </w:pPr>
      <w:r w:rsidRPr="00297451">
        <w:rPr>
          <w:rFonts w:ascii="Times New Roman" w:hAnsi="Times New Roman" w:cs="Times New Roman"/>
          <w:sz w:val="28"/>
          <w:szCs w:val="28"/>
        </w:rPr>
        <w:t>В целях расширения каналов сбыта отечественной сельскохозяйственной продукции в муниципальных образованиях автономного округа в 2015 году проведено 657 ярмарок. Количество постоянно действующих продуктовых ярмарок в муниципальных образованиях увеличено с 65 до 80.</w:t>
      </w:r>
    </w:p>
    <w:p w:rsidR="003546BC" w:rsidRPr="00297451" w:rsidRDefault="003546BC" w:rsidP="00801570">
      <w:pPr>
        <w:spacing w:after="0" w:line="360" w:lineRule="auto"/>
        <w:ind w:firstLine="709"/>
        <w:jc w:val="both"/>
        <w:rPr>
          <w:rFonts w:ascii="Times New Roman" w:hAnsi="Times New Roman" w:cs="Times New Roman"/>
          <w:sz w:val="28"/>
          <w:szCs w:val="28"/>
        </w:rPr>
      </w:pPr>
      <w:r w:rsidRPr="00297451">
        <w:rPr>
          <w:rFonts w:ascii="Times New Roman" w:hAnsi="Times New Roman" w:cs="Times New Roman"/>
          <w:sz w:val="28"/>
          <w:szCs w:val="28"/>
        </w:rPr>
        <w:lastRenderedPageBreak/>
        <w:t>Деятельность по организации розничной торговли осуществляется с использованием 6</w:t>
      </w:r>
      <w:r w:rsidR="00DB1746" w:rsidRPr="00297451">
        <w:rPr>
          <w:rFonts w:ascii="Times New Roman" w:hAnsi="Times New Roman" w:cs="Times New Roman"/>
          <w:sz w:val="28"/>
          <w:szCs w:val="28"/>
        </w:rPr>
        <w:t> </w:t>
      </w:r>
      <w:r w:rsidRPr="00297451">
        <w:rPr>
          <w:rFonts w:ascii="Times New Roman" w:hAnsi="Times New Roman" w:cs="Times New Roman"/>
          <w:sz w:val="28"/>
          <w:szCs w:val="28"/>
        </w:rPr>
        <w:t>607</w:t>
      </w:r>
      <w:r w:rsidR="00DB1746" w:rsidRPr="00297451">
        <w:rPr>
          <w:rFonts w:ascii="Times New Roman" w:hAnsi="Times New Roman" w:cs="Times New Roman"/>
          <w:sz w:val="28"/>
          <w:szCs w:val="28"/>
        </w:rPr>
        <w:t xml:space="preserve"> </w:t>
      </w:r>
      <w:r w:rsidRPr="00297451">
        <w:rPr>
          <w:rFonts w:ascii="Times New Roman" w:hAnsi="Times New Roman" w:cs="Times New Roman"/>
          <w:sz w:val="28"/>
          <w:szCs w:val="28"/>
        </w:rPr>
        <w:t>стационарных торговых объектов, торговой площадью более 1,6 млн. кв. м. Обеспеченность населения площадью торговых объектов в автономном округе в 2015 году увеличилась до 1</w:t>
      </w:r>
      <w:r w:rsidR="00DB1746" w:rsidRPr="00297451">
        <w:rPr>
          <w:rFonts w:ascii="Times New Roman" w:hAnsi="Times New Roman" w:cs="Times New Roman"/>
          <w:sz w:val="28"/>
          <w:szCs w:val="28"/>
        </w:rPr>
        <w:t> </w:t>
      </w:r>
      <w:r w:rsidRPr="00297451">
        <w:rPr>
          <w:rFonts w:ascii="Times New Roman" w:hAnsi="Times New Roman" w:cs="Times New Roman"/>
          <w:sz w:val="28"/>
          <w:szCs w:val="28"/>
        </w:rPr>
        <w:t xml:space="preserve">009,0 </w:t>
      </w:r>
      <w:proofErr w:type="spellStart"/>
      <w:r w:rsidRPr="00297451">
        <w:rPr>
          <w:rFonts w:ascii="Times New Roman" w:hAnsi="Times New Roman" w:cs="Times New Roman"/>
          <w:sz w:val="28"/>
          <w:szCs w:val="28"/>
        </w:rPr>
        <w:t>кв</w:t>
      </w:r>
      <w:proofErr w:type="gramStart"/>
      <w:r w:rsidRPr="00297451">
        <w:rPr>
          <w:rFonts w:ascii="Times New Roman" w:hAnsi="Times New Roman" w:cs="Times New Roman"/>
          <w:sz w:val="28"/>
          <w:szCs w:val="28"/>
        </w:rPr>
        <w:t>.м</w:t>
      </w:r>
      <w:proofErr w:type="spellEnd"/>
      <w:proofErr w:type="gramEnd"/>
      <w:r w:rsidRPr="00297451">
        <w:rPr>
          <w:rFonts w:ascii="Times New Roman" w:hAnsi="Times New Roman" w:cs="Times New Roman"/>
          <w:sz w:val="28"/>
          <w:szCs w:val="28"/>
        </w:rPr>
        <w:t xml:space="preserve"> на тыс. жителей.</w:t>
      </w:r>
    </w:p>
    <w:p w:rsidR="003546BC" w:rsidRPr="00297451" w:rsidRDefault="003546BC" w:rsidP="003546BC">
      <w:pPr>
        <w:spacing w:after="0" w:line="360" w:lineRule="auto"/>
        <w:ind w:firstLine="709"/>
        <w:jc w:val="both"/>
        <w:rPr>
          <w:rFonts w:ascii="Times New Roman" w:eastAsia="Calibri" w:hAnsi="Times New Roman" w:cs="Times New Roman"/>
          <w:sz w:val="28"/>
          <w:szCs w:val="28"/>
        </w:rPr>
      </w:pPr>
      <w:proofErr w:type="gramStart"/>
      <w:r w:rsidRPr="00297451">
        <w:rPr>
          <w:rFonts w:ascii="Times New Roman" w:eastAsia="Calibri" w:hAnsi="Times New Roman" w:cs="Times New Roman"/>
          <w:sz w:val="28"/>
          <w:szCs w:val="28"/>
        </w:rPr>
        <w:t xml:space="preserve">Организовано 12 розничных рынков в 9 муниципальных образованиях, в том числе 11 универсальных, 1 сельскохозяйственный. </w:t>
      </w:r>
      <w:proofErr w:type="gramEnd"/>
    </w:p>
    <w:p w:rsidR="003546BC" w:rsidRPr="00297451" w:rsidRDefault="003546BC" w:rsidP="003546BC">
      <w:pPr>
        <w:spacing w:after="0" w:line="360" w:lineRule="auto"/>
        <w:ind w:firstLine="709"/>
        <w:jc w:val="both"/>
        <w:rPr>
          <w:rFonts w:ascii="Times New Roman" w:eastAsia="Calibri" w:hAnsi="Times New Roman" w:cs="Times New Roman"/>
          <w:sz w:val="28"/>
          <w:szCs w:val="28"/>
        </w:rPr>
      </w:pPr>
      <w:r w:rsidRPr="00297451">
        <w:rPr>
          <w:rFonts w:ascii="Times New Roman" w:eastAsia="Calibri" w:hAnsi="Times New Roman" w:cs="Times New Roman"/>
          <w:sz w:val="28"/>
          <w:szCs w:val="28"/>
        </w:rPr>
        <w:t>Для обеспечения доступа сельхозпроизводителей на рынок и расширения каналов сбыта, исполнительными органами государственной власти Ханты-Мансийского автономного округа – Югры совместно с предпринимательским сообществом проводятся организационные мероприятия:</w:t>
      </w:r>
    </w:p>
    <w:p w:rsidR="003546BC" w:rsidRPr="00297451" w:rsidRDefault="003546BC" w:rsidP="003546BC">
      <w:pPr>
        <w:spacing w:after="0" w:line="360" w:lineRule="auto"/>
        <w:ind w:firstLine="709"/>
        <w:jc w:val="both"/>
        <w:rPr>
          <w:rFonts w:ascii="Times New Roman" w:eastAsia="Calibri" w:hAnsi="Times New Roman" w:cs="Times New Roman"/>
          <w:sz w:val="28"/>
          <w:szCs w:val="28"/>
        </w:rPr>
      </w:pPr>
      <w:r w:rsidRPr="00297451">
        <w:rPr>
          <w:rFonts w:ascii="Times New Roman" w:eastAsia="Calibri" w:hAnsi="Times New Roman" w:cs="Times New Roman"/>
          <w:sz w:val="28"/>
          <w:szCs w:val="28"/>
        </w:rPr>
        <w:t>по увеличению количества нестационарных торговых объектов, реализующих сельскохозяйственную продукцию и продовольственные товары;</w:t>
      </w:r>
    </w:p>
    <w:p w:rsidR="003546BC" w:rsidRPr="00297451" w:rsidRDefault="003546BC" w:rsidP="003546BC">
      <w:pPr>
        <w:spacing w:after="0" w:line="360" w:lineRule="auto"/>
        <w:ind w:firstLine="709"/>
        <w:jc w:val="both"/>
        <w:rPr>
          <w:rFonts w:ascii="Times New Roman" w:eastAsia="Calibri" w:hAnsi="Times New Roman" w:cs="Times New Roman"/>
          <w:sz w:val="28"/>
          <w:szCs w:val="28"/>
        </w:rPr>
      </w:pPr>
      <w:r w:rsidRPr="00297451">
        <w:rPr>
          <w:rFonts w:ascii="Times New Roman" w:eastAsia="Calibri" w:hAnsi="Times New Roman" w:cs="Times New Roman"/>
          <w:sz w:val="28"/>
          <w:szCs w:val="28"/>
        </w:rPr>
        <w:t>формированию справочной общедоступной системы ярмарочных площадок, для организации и проведения ярмарок в муниципальных о</w:t>
      </w:r>
      <w:r w:rsidR="004C0E61">
        <w:rPr>
          <w:rFonts w:ascii="Times New Roman" w:eastAsia="Calibri" w:hAnsi="Times New Roman" w:cs="Times New Roman"/>
          <w:sz w:val="28"/>
          <w:szCs w:val="28"/>
        </w:rPr>
        <w:t>бразованиях автономного округа;</w:t>
      </w:r>
    </w:p>
    <w:p w:rsidR="003546BC" w:rsidRPr="00270B31" w:rsidRDefault="003546BC" w:rsidP="003546BC">
      <w:pPr>
        <w:spacing w:after="0" w:line="360" w:lineRule="auto"/>
        <w:ind w:firstLine="709"/>
        <w:jc w:val="both"/>
        <w:rPr>
          <w:rFonts w:ascii="Times New Roman" w:eastAsia="Calibri" w:hAnsi="Times New Roman" w:cs="Times New Roman"/>
          <w:sz w:val="28"/>
          <w:szCs w:val="28"/>
        </w:rPr>
      </w:pPr>
      <w:r w:rsidRPr="00297451">
        <w:rPr>
          <w:rFonts w:ascii="Times New Roman" w:eastAsia="Calibri" w:hAnsi="Times New Roman" w:cs="Times New Roman"/>
          <w:sz w:val="28"/>
          <w:szCs w:val="28"/>
        </w:rPr>
        <w:t xml:space="preserve">обеспечение доступа к торговым местам на розничных рынках товаропроизводителям сельскохозяйственной продукции на льготных </w:t>
      </w:r>
      <w:r w:rsidRPr="00270B31">
        <w:rPr>
          <w:rFonts w:ascii="Times New Roman" w:eastAsia="Calibri" w:hAnsi="Times New Roman" w:cs="Times New Roman"/>
          <w:sz w:val="28"/>
          <w:szCs w:val="28"/>
        </w:rPr>
        <w:t>условиях в упрощенном порядке.</w:t>
      </w:r>
    </w:p>
    <w:p w:rsidR="000A3566" w:rsidRPr="00270B31" w:rsidRDefault="000A3566" w:rsidP="000A3566">
      <w:pPr>
        <w:spacing w:after="0" w:line="360" w:lineRule="auto"/>
        <w:ind w:firstLine="709"/>
        <w:jc w:val="both"/>
        <w:rPr>
          <w:rFonts w:ascii="Times New Roman" w:hAnsi="Times New Roman"/>
          <w:sz w:val="28"/>
          <w:szCs w:val="28"/>
        </w:rPr>
      </w:pPr>
      <w:proofErr w:type="gramStart"/>
      <w:r w:rsidRPr="00270B31">
        <w:rPr>
          <w:rFonts w:ascii="Times New Roman" w:hAnsi="Times New Roman" w:cs="Times New Roman"/>
          <w:sz w:val="28"/>
          <w:szCs w:val="28"/>
        </w:rPr>
        <w:t xml:space="preserve">В целях обеспечения исполнения процессов предоставления государственных услуг в электронном виде, ведения реестров и электронных дел в области лицензирования заготовки, хранения, переработки и реализации лома черных металлов, цветных металлов, лицензирования розничной продажи алкогольной продукции и обеспечения исполнения государственной функции по осуществлению лицензионного контроля по данным видам деятельности, а также соблюдения требований действующего законодательства в области </w:t>
      </w:r>
      <w:r w:rsidRPr="00270B31">
        <w:rPr>
          <w:rFonts w:ascii="Times New Roman" w:hAnsi="Times New Roman" w:cs="Times New Roman"/>
          <w:sz w:val="28"/>
          <w:szCs w:val="28"/>
        </w:rPr>
        <w:lastRenderedPageBreak/>
        <w:t>лицензирования, повышение качества и прозрачности</w:t>
      </w:r>
      <w:proofErr w:type="gramEnd"/>
      <w:r w:rsidRPr="00270B31">
        <w:rPr>
          <w:rFonts w:ascii="Times New Roman" w:hAnsi="Times New Roman" w:cs="Times New Roman"/>
          <w:sz w:val="28"/>
          <w:szCs w:val="28"/>
        </w:rPr>
        <w:t xml:space="preserve"> оказания государственных услуг и снижения административных барьеров в ходе взаимодействия с заявителями и лицензиатами, в 2015 году </w:t>
      </w:r>
      <w:r w:rsidRPr="00270B31">
        <w:rPr>
          <w:rFonts w:ascii="Times New Roman" w:hAnsi="Times New Roman"/>
          <w:sz w:val="28"/>
          <w:szCs w:val="28"/>
        </w:rPr>
        <w:t>начата работа по адаптации автоматизированной информационной системы лицензирования на базе программно-технического решения «Автоматизированная информационная система Лицензирования Отдельных видов Деятельности»</w:t>
      </w:r>
      <w:r w:rsidRPr="00270B31">
        <w:rPr>
          <w:rFonts w:ascii="Times New Roman" w:hAnsi="Times New Roman"/>
          <w:color w:val="1F497D"/>
          <w:sz w:val="28"/>
          <w:szCs w:val="28"/>
        </w:rPr>
        <w:t xml:space="preserve"> </w:t>
      </w:r>
      <w:r w:rsidRPr="00270B31">
        <w:rPr>
          <w:rFonts w:ascii="Times New Roman" w:hAnsi="Times New Roman"/>
          <w:sz w:val="28"/>
          <w:szCs w:val="28"/>
        </w:rPr>
        <w:t xml:space="preserve">(АИС ЛОД). </w:t>
      </w:r>
    </w:p>
    <w:p w:rsidR="000A3566" w:rsidRDefault="000A3566" w:rsidP="000A3566">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270B31">
        <w:rPr>
          <w:rFonts w:ascii="Times New Roman" w:hAnsi="Times New Roman" w:cs="Times New Roman"/>
          <w:sz w:val="28"/>
          <w:szCs w:val="28"/>
        </w:rPr>
        <w:t>Процесс по предоставлению государственных услуг по лицензированию розничной продажи алкогольной продукции, заготовке, хранения, переработке и реализации лома черных металлов, цветных металлов начат в январе 2016 года.</w:t>
      </w:r>
    </w:p>
    <w:p w:rsidR="00801570" w:rsidRPr="009B1920" w:rsidRDefault="00801570" w:rsidP="00801570">
      <w:pPr>
        <w:spacing w:after="0" w:line="360" w:lineRule="auto"/>
        <w:ind w:firstLine="709"/>
        <w:jc w:val="both"/>
        <w:rPr>
          <w:rFonts w:ascii="Times New Roman" w:hAnsi="Times New Roman" w:cs="Times New Roman"/>
          <w:sz w:val="28"/>
          <w:szCs w:val="28"/>
        </w:rPr>
      </w:pPr>
      <w:r w:rsidRPr="00F46A26">
        <w:rPr>
          <w:rFonts w:ascii="Times New Roman" w:hAnsi="Times New Roman" w:cs="Times New Roman"/>
          <w:b/>
          <w:sz w:val="28"/>
          <w:szCs w:val="28"/>
        </w:rPr>
        <w:t xml:space="preserve">По подпрограмме </w:t>
      </w:r>
      <w:r w:rsidR="003F5B9F" w:rsidRPr="00F46A26">
        <w:rPr>
          <w:rFonts w:ascii="Times New Roman" w:hAnsi="Times New Roman" w:cs="Times New Roman"/>
          <w:b/>
          <w:sz w:val="28"/>
          <w:szCs w:val="28"/>
          <w:lang w:val="en-US"/>
        </w:rPr>
        <w:t>V</w:t>
      </w:r>
      <w:r w:rsidR="00F46A26">
        <w:rPr>
          <w:rFonts w:ascii="Times New Roman" w:hAnsi="Times New Roman" w:cs="Times New Roman"/>
          <w:b/>
          <w:sz w:val="28"/>
          <w:szCs w:val="28"/>
        </w:rPr>
        <w:t xml:space="preserve"> </w:t>
      </w:r>
      <w:r w:rsidRPr="00F46A26">
        <w:rPr>
          <w:rFonts w:ascii="Times New Roman" w:hAnsi="Times New Roman" w:cs="Times New Roman"/>
          <w:b/>
          <w:sz w:val="28"/>
          <w:szCs w:val="28"/>
        </w:rPr>
        <w:t>«Формирование благоприятной инвестиционной среды»</w:t>
      </w:r>
    </w:p>
    <w:p w:rsidR="003546BC" w:rsidRPr="009B1920" w:rsidRDefault="003546BC" w:rsidP="003546BC">
      <w:pPr>
        <w:spacing w:after="0" w:line="360" w:lineRule="auto"/>
        <w:ind w:firstLine="709"/>
        <w:jc w:val="both"/>
        <w:rPr>
          <w:rFonts w:ascii="Times New Roman" w:eastAsia="Calibri" w:hAnsi="Times New Roman" w:cs="Times New Roman"/>
          <w:sz w:val="28"/>
          <w:szCs w:val="28"/>
        </w:rPr>
      </w:pPr>
      <w:r w:rsidRPr="009B1920">
        <w:rPr>
          <w:rFonts w:ascii="Times New Roman" w:eastAsia="Calibri" w:hAnsi="Times New Roman" w:cs="Times New Roman"/>
          <w:sz w:val="28"/>
          <w:szCs w:val="28"/>
        </w:rPr>
        <w:t>В целях обеспечения благоприятного инвестиционного климата, содействия инновационному развитию в 2015 году продолжено формирование комплексной системы государственной поддержки инвестиционной и инновационной деятельности, в том числе посредством организаций инфраструктуры поддержки инвестиционной и инновационной деятельности.</w:t>
      </w:r>
    </w:p>
    <w:p w:rsidR="003546BC" w:rsidRPr="009B1920" w:rsidRDefault="003546BC" w:rsidP="003546BC">
      <w:pPr>
        <w:spacing w:after="0" w:line="360" w:lineRule="auto"/>
        <w:ind w:firstLine="709"/>
        <w:jc w:val="both"/>
        <w:rPr>
          <w:rFonts w:ascii="Times New Roman" w:eastAsia="Calibri" w:hAnsi="Times New Roman" w:cs="Times New Roman"/>
          <w:sz w:val="28"/>
          <w:szCs w:val="28"/>
        </w:rPr>
      </w:pPr>
      <w:r w:rsidRPr="009B1920">
        <w:rPr>
          <w:rFonts w:ascii="Times New Roman" w:eastAsia="Calibri" w:hAnsi="Times New Roman" w:cs="Times New Roman"/>
          <w:sz w:val="28"/>
          <w:szCs w:val="28"/>
        </w:rPr>
        <w:t>Для содействия развитию инвестиционной деятельности разработаны нормативные правовые акты, составляющие систему инвестиционного законодательства автономного округа.</w:t>
      </w:r>
    </w:p>
    <w:p w:rsidR="003546BC" w:rsidRPr="009B1920" w:rsidRDefault="003546BC" w:rsidP="003546BC">
      <w:pPr>
        <w:spacing w:after="0" w:line="360" w:lineRule="auto"/>
        <w:ind w:firstLine="709"/>
        <w:jc w:val="both"/>
        <w:rPr>
          <w:rFonts w:ascii="Times New Roman" w:eastAsia="Calibri" w:hAnsi="Times New Roman" w:cs="Times New Roman"/>
          <w:sz w:val="28"/>
          <w:szCs w:val="28"/>
        </w:rPr>
      </w:pPr>
      <w:proofErr w:type="gramStart"/>
      <w:r w:rsidRPr="009B1920">
        <w:rPr>
          <w:rFonts w:ascii="Times New Roman" w:eastAsia="Calibri" w:hAnsi="Times New Roman" w:cs="Times New Roman"/>
          <w:sz w:val="28"/>
          <w:szCs w:val="28"/>
        </w:rPr>
        <w:t>В автономном округе осуществляют свою деятельность организации инфраструктуры поддержки инвестиционной деятельности, которые работают непосредственно с хозяйствующими субъектами: бюджетное учреждение автономного округа «Региональный центр инвестиций», Фонд развития Югры, автономное учреждение Ханты-Мансийского автономного округа – Югры «Технопарк высоких технологий»</w:t>
      </w:r>
      <w:r w:rsidR="00B330EC" w:rsidRPr="009B1920">
        <w:rPr>
          <w:rFonts w:ascii="Times New Roman" w:eastAsia="Calibri" w:hAnsi="Times New Roman" w:cs="Times New Roman"/>
          <w:sz w:val="28"/>
          <w:szCs w:val="28"/>
        </w:rPr>
        <w:t xml:space="preserve"> (далее также – Технопарк), </w:t>
      </w:r>
      <w:r w:rsidRPr="009B1920">
        <w:rPr>
          <w:rFonts w:ascii="Times New Roman" w:eastAsia="Calibri" w:hAnsi="Times New Roman" w:cs="Times New Roman"/>
          <w:sz w:val="28"/>
          <w:szCs w:val="28"/>
        </w:rPr>
        <w:t xml:space="preserve">Фонд поддержки предпринимательства Югры, Фонд </w:t>
      </w:r>
      <w:r w:rsidRPr="009B1920">
        <w:rPr>
          <w:rFonts w:ascii="Times New Roman" w:eastAsia="Calibri" w:hAnsi="Times New Roman" w:cs="Times New Roman"/>
          <w:sz w:val="28"/>
          <w:szCs w:val="28"/>
        </w:rPr>
        <w:lastRenderedPageBreak/>
        <w:t xml:space="preserve">«Югорская региональная </w:t>
      </w:r>
      <w:proofErr w:type="spellStart"/>
      <w:r w:rsidRPr="009B1920">
        <w:rPr>
          <w:rFonts w:ascii="Times New Roman" w:eastAsia="Calibri" w:hAnsi="Times New Roman" w:cs="Times New Roman"/>
          <w:sz w:val="28"/>
          <w:szCs w:val="28"/>
        </w:rPr>
        <w:t>микрофинансовая</w:t>
      </w:r>
      <w:proofErr w:type="spellEnd"/>
      <w:r w:rsidRPr="009B1920">
        <w:rPr>
          <w:rFonts w:ascii="Times New Roman" w:eastAsia="Calibri" w:hAnsi="Times New Roman" w:cs="Times New Roman"/>
          <w:sz w:val="28"/>
          <w:szCs w:val="28"/>
        </w:rPr>
        <w:t xml:space="preserve"> организация», Центр поддержки экспорта Югры.</w:t>
      </w:r>
      <w:proofErr w:type="gramEnd"/>
    </w:p>
    <w:p w:rsidR="003546BC" w:rsidRPr="00270B31" w:rsidRDefault="003546BC" w:rsidP="003546BC">
      <w:pPr>
        <w:spacing w:after="0" w:line="360" w:lineRule="auto"/>
        <w:ind w:firstLine="709"/>
        <w:jc w:val="both"/>
        <w:rPr>
          <w:rFonts w:ascii="Times New Roman" w:eastAsia="Calibri" w:hAnsi="Times New Roman" w:cs="Times New Roman"/>
          <w:sz w:val="28"/>
          <w:szCs w:val="28"/>
        </w:rPr>
      </w:pPr>
      <w:r w:rsidRPr="009B1920">
        <w:rPr>
          <w:rFonts w:ascii="Times New Roman" w:eastAsia="Calibri" w:hAnsi="Times New Roman" w:cs="Times New Roman"/>
          <w:sz w:val="28"/>
          <w:szCs w:val="28"/>
        </w:rPr>
        <w:t>Сформирован Реестр приоритетных инвестиционных проектов Ханты-Мансийского автономного округа – Югры из 16</w:t>
      </w:r>
      <w:r w:rsidR="00C945DB">
        <w:rPr>
          <w:rFonts w:ascii="Times New Roman" w:eastAsia="Calibri" w:hAnsi="Times New Roman" w:cs="Times New Roman"/>
          <w:sz w:val="28"/>
          <w:szCs w:val="28"/>
        </w:rPr>
        <w:t>6</w:t>
      </w:r>
      <w:r w:rsidRPr="009B1920">
        <w:rPr>
          <w:rFonts w:ascii="Times New Roman" w:eastAsia="Calibri" w:hAnsi="Times New Roman" w:cs="Times New Roman"/>
          <w:sz w:val="28"/>
          <w:szCs w:val="28"/>
        </w:rPr>
        <w:t xml:space="preserve"> проектов совокупной инвестиционной емкостью 4</w:t>
      </w:r>
      <w:r w:rsidR="00C945DB">
        <w:rPr>
          <w:rFonts w:ascii="Times New Roman" w:eastAsia="Calibri" w:hAnsi="Times New Roman" w:cs="Times New Roman"/>
          <w:sz w:val="28"/>
          <w:szCs w:val="28"/>
        </w:rPr>
        <w:t>81</w:t>
      </w:r>
      <w:r w:rsidRPr="009B1920">
        <w:rPr>
          <w:rFonts w:ascii="Times New Roman" w:eastAsia="Calibri" w:hAnsi="Times New Roman" w:cs="Times New Roman"/>
          <w:sz w:val="28"/>
          <w:szCs w:val="28"/>
        </w:rPr>
        <w:t xml:space="preserve">,0 млрд. рублей, в том числе </w:t>
      </w:r>
      <w:r w:rsidR="00C945DB">
        <w:rPr>
          <w:rFonts w:ascii="Times New Roman" w:eastAsia="Calibri" w:hAnsi="Times New Roman" w:cs="Times New Roman"/>
          <w:sz w:val="28"/>
          <w:szCs w:val="28"/>
        </w:rPr>
        <w:br/>
      </w:r>
      <w:r w:rsidRPr="009B1920">
        <w:rPr>
          <w:rFonts w:ascii="Times New Roman" w:eastAsia="Calibri" w:hAnsi="Times New Roman" w:cs="Times New Roman"/>
          <w:sz w:val="28"/>
          <w:szCs w:val="28"/>
        </w:rPr>
        <w:t xml:space="preserve">8 крупномасштабных инвестиционных проектов в различных отраслях и </w:t>
      </w:r>
      <w:r w:rsidRPr="00270B31">
        <w:rPr>
          <w:rFonts w:ascii="Times New Roman" w:eastAsia="Calibri" w:hAnsi="Times New Roman" w:cs="Times New Roman"/>
          <w:sz w:val="28"/>
          <w:szCs w:val="28"/>
        </w:rPr>
        <w:t>сферах экономики.</w:t>
      </w:r>
    </w:p>
    <w:p w:rsidR="009E7132" w:rsidRPr="00037B94" w:rsidRDefault="009E7132" w:rsidP="009E7132">
      <w:pPr>
        <w:spacing w:after="0" w:line="360" w:lineRule="auto"/>
        <w:ind w:firstLine="709"/>
        <w:jc w:val="both"/>
        <w:rPr>
          <w:rFonts w:ascii="Times New Roman" w:hAnsi="Times New Roman" w:cs="Times New Roman"/>
          <w:sz w:val="28"/>
          <w:szCs w:val="28"/>
        </w:rPr>
      </w:pPr>
      <w:r w:rsidRPr="00270B31">
        <w:rPr>
          <w:rFonts w:ascii="Times New Roman" w:hAnsi="Times New Roman" w:cs="Times New Roman"/>
          <w:sz w:val="28"/>
          <w:szCs w:val="28"/>
        </w:rPr>
        <w:t>Региональный центр инвестиций обеспечивает взаимодействие с инвесторами, осуществляет подготовку необходимых документов для оказания государственной поддержки инвестиционных проектов, информационно-консультационную поддержку инвесторов, а также комплексный информационный мониторинг социально-экономических процессов экономики автономного округа.</w:t>
      </w:r>
    </w:p>
    <w:p w:rsidR="003546BC" w:rsidRPr="009B1920" w:rsidRDefault="005F1489" w:rsidP="003546BC">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Деятельность </w:t>
      </w:r>
      <w:r w:rsidR="003546BC" w:rsidRPr="009B1920">
        <w:rPr>
          <w:rFonts w:ascii="Times New Roman" w:eastAsia="Calibri" w:hAnsi="Times New Roman" w:cs="Times New Roman"/>
          <w:sz w:val="28"/>
          <w:szCs w:val="28"/>
        </w:rPr>
        <w:t>Фонд</w:t>
      </w:r>
      <w:r>
        <w:rPr>
          <w:rFonts w:ascii="Times New Roman" w:eastAsia="Calibri" w:hAnsi="Times New Roman" w:cs="Times New Roman"/>
          <w:sz w:val="28"/>
          <w:szCs w:val="28"/>
        </w:rPr>
        <w:t>а</w:t>
      </w:r>
      <w:r w:rsidR="003546BC" w:rsidRPr="009B1920">
        <w:rPr>
          <w:rFonts w:ascii="Times New Roman" w:eastAsia="Calibri" w:hAnsi="Times New Roman" w:cs="Times New Roman"/>
          <w:sz w:val="28"/>
          <w:szCs w:val="28"/>
        </w:rPr>
        <w:t xml:space="preserve"> развития Югры </w:t>
      </w:r>
      <w:r>
        <w:rPr>
          <w:rFonts w:ascii="Times New Roman" w:eastAsia="Calibri" w:hAnsi="Times New Roman" w:cs="Times New Roman"/>
          <w:sz w:val="28"/>
          <w:szCs w:val="28"/>
        </w:rPr>
        <w:t>направлена на привлечение инвестиций в развитие дорожно-транспортной инфраструктуры, образование, здравоохранение, жилищно-коммунальный сектор, инновационные производства в целях формирования нового качества инвестиционной среды в регионе.</w:t>
      </w:r>
    </w:p>
    <w:p w:rsidR="00DD2FF2" w:rsidRPr="00270B31" w:rsidRDefault="00DD2FF2" w:rsidP="00DD2FF2">
      <w:pPr>
        <w:spacing w:after="0" w:line="360" w:lineRule="auto"/>
        <w:ind w:firstLine="709"/>
        <w:jc w:val="both"/>
        <w:rPr>
          <w:rFonts w:ascii="Times New Roman" w:eastAsia="Calibri" w:hAnsi="Times New Roman" w:cs="Times New Roman"/>
          <w:sz w:val="28"/>
          <w:szCs w:val="28"/>
        </w:rPr>
      </w:pPr>
      <w:r w:rsidRPr="00270B31">
        <w:rPr>
          <w:rFonts w:ascii="Times New Roman" w:eastAsia="Calibri" w:hAnsi="Times New Roman" w:cs="Times New Roman"/>
          <w:sz w:val="28"/>
          <w:szCs w:val="28"/>
        </w:rPr>
        <w:t>В автономном округе в 2015 году продолжили реализацию наиболее значимые инвестиционные проекты, утвержденные Председателем Правительства РФ приоритетные инвестиционные проекты в Уральском федеральном округе, включая:</w:t>
      </w:r>
    </w:p>
    <w:p w:rsidR="00DD2FF2" w:rsidRPr="00270B31" w:rsidRDefault="00DD2FF2" w:rsidP="00DD2FF2">
      <w:pPr>
        <w:spacing w:after="0" w:line="360" w:lineRule="auto"/>
        <w:ind w:firstLine="709"/>
        <w:jc w:val="both"/>
        <w:rPr>
          <w:rFonts w:ascii="Times New Roman" w:eastAsia="Calibri" w:hAnsi="Times New Roman" w:cs="Times New Roman"/>
          <w:sz w:val="28"/>
          <w:szCs w:val="28"/>
        </w:rPr>
      </w:pPr>
      <w:r w:rsidRPr="00270B31">
        <w:rPr>
          <w:rFonts w:ascii="Times New Roman" w:eastAsia="Calibri" w:hAnsi="Times New Roman" w:cs="Times New Roman"/>
          <w:sz w:val="28"/>
          <w:szCs w:val="28"/>
        </w:rPr>
        <w:t>Реконструкци</w:t>
      </w:r>
      <w:r w:rsidR="001F2E42">
        <w:rPr>
          <w:rFonts w:ascii="Times New Roman" w:eastAsia="Calibri" w:hAnsi="Times New Roman" w:cs="Times New Roman"/>
          <w:sz w:val="28"/>
          <w:szCs w:val="28"/>
        </w:rPr>
        <w:t>ю</w:t>
      </w:r>
      <w:r w:rsidRPr="00270B31">
        <w:rPr>
          <w:rFonts w:ascii="Times New Roman" w:eastAsia="Calibri" w:hAnsi="Times New Roman" w:cs="Times New Roman"/>
          <w:sz w:val="28"/>
          <w:szCs w:val="28"/>
        </w:rPr>
        <w:t xml:space="preserve"> рыборазводного завода по воспроизводству ценных видов рыб в средней Оби в г. Ханты-Мансийске (инвестор ОАО «Югорский рыбоводный завод»);</w:t>
      </w:r>
    </w:p>
    <w:p w:rsidR="00DD2FF2" w:rsidRDefault="00DD2FF2" w:rsidP="00DD2FF2">
      <w:pPr>
        <w:spacing w:after="0" w:line="360" w:lineRule="auto"/>
        <w:ind w:firstLine="709"/>
        <w:jc w:val="both"/>
        <w:rPr>
          <w:rFonts w:ascii="Times New Roman" w:eastAsia="Calibri" w:hAnsi="Times New Roman" w:cs="Times New Roman"/>
          <w:sz w:val="28"/>
          <w:szCs w:val="28"/>
        </w:rPr>
      </w:pPr>
      <w:r w:rsidRPr="00270B31">
        <w:rPr>
          <w:rFonts w:ascii="Times New Roman" w:eastAsia="Calibri" w:hAnsi="Times New Roman" w:cs="Times New Roman"/>
          <w:sz w:val="28"/>
          <w:szCs w:val="28"/>
        </w:rPr>
        <w:t>Комплексный проект ОАО «</w:t>
      </w:r>
      <w:proofErr w:type="spellStart"/>
      <w:r w:rsidRPr="00270B31">
        <w:rPr>
          <w:rFonts w:ascii="Times New Roman" w:eastAsia="Calibri" w:hAnsi="Times New Roman" w:cs="Times New Roman"/>
          <w:sz w:val="28"/>
          <w:szCs w:val="28"/>
        </w:rPr>
        <w:t>Сибур</w:t>
      </w:r>
      <w:proofErr w:type="spellEnd"/>
      <w:r w:rsidRPr="00270B31">
        <w:rPr>
          <w:rFonts w:ascii="Times New Roman" w:eastAsia="Calibri" w:hAnsi="Times New Roman" w:cs="Times New Roman"/>
          <w:sz w:val="28"/>
          <w:szCs w:val="28"/>
        </w:rPr>
        <w:t xml:space="preserve">», включающий строительство нового продуктопровода Южно – </w:t>
      </w:r>
      <w:proofErr w:type="spellStart"/>
      <w:r w:rsidRPr="00270B31">
        <w:rPr>
          <w:rFonts w:ascii="Times New Roman" w:eastAsia="Calibri" w:hAnsi="Times New Roman" w:cs="Times New Roman"/>
          <w:sz w:val="28"/>
          <w:szCs w:val="28"/>
        </w:rPr>
        <w:t>Балыкская</w:t>
      </w:r>
      <w:proofErr w:type="spellEnd"/>
      <w:r w:rsidRPr="00270B31">
        <w:rPr>
          <w:rFonts w:ascii="Times New Roman" w:eastAsia="Calibri" w:hAnsi="Times New Roman" w:cs="Times New Roman"/>
          <w:sz w:val="28"/>
          <w:szCs w:val="28"/>
        </w:rPr>
        <w:t xml:space="preserve"> ГНС – ТНХ (инвестор холдинговая компания ЗАО «СИБУР-Холдинг»).</w:t>
      </w:r>
    </w:p>
    <w:p w:rsidR="003546BC" w:rsidRPr="009B1920" w:rsidRDefault="003546BC" w:rsidP="003546BC">
      <w:pPr>
        <w:spacing w:after="0" w:line="360" w:lineRule="auto"/>
        <w:ind w:firstLine="709"/>
        <w:jc w:val="both"/>
        <w:rPr>
          <w:rFonts w:ascii="Times New Roman" w:eastAsia="Calibri" w:hAnsi="Times New Roman" w:cs="Times New Roman"/>
          <w:sz w:val="28"/>
          <w:szCs w:val="28"/>
        </w:rPr>
      </w:pPr>
      <w:r w:rsidRPr="009B1920">
        <w:rPr>
          <w:rFonts w:ascii="Times New Roman" w:eastAsia="Calibri" w:hAnsi="Times New Roman" w:cs="Times New Roman"/>
          <w:sz w:val="28"/>
          <w:szCs w:val="28"/>
        </w:rPr>
        <w:lastRenderedPageBreak/>
        <w:t>По итогам 2015 года Югра улучшила свои позиции в Национальном рейтинге состояния инвестиционного климата в субъектах Российской Федерации, войдя в десятку лидеров.</w:t>
      </w:r>
    </w:p>
    <w:p w:rsidR="003546BC" w:rsidRPr="009B1920" w:rsidRDefault="003546BC" w:rsidP="003546BC">
      <w:pPr>
        <w:spacing w:after="0" w:line="360" w:lineRule="auto"/>
        <w:ind w:firstLine="709"/>
        <w:jc w:val="both"/>
        <w:rPr>
          <w:rFonts w:ascii="Times New Roman" w:eastAsia="Calibri" w:hAnsi="Times New Roman" w:cs="Times New Roman"/>
          <w:sz w:val="28"/>
          <w:szCs w:val="28"/>
        </w:rPr>
      </w:pPr>
      <w:r w:rsidRPr="009B1920">
        <w:rPr>
          <w:rFonts w:ascii="Times New Roman" w:eastAsia="Calibri" w:hAnsi="Times New Roman" w:cs="Times New Roman"/>
          <w:sz w:val="28"/>
          <w:szCs w:val="28"/>
        </w:rPr>
        <w:t>Основн</w:t>
      </w:r>
      <w:r w:rsidR="0004449A">
        <w:rPr>
          <w:rFonts w:ascii="Times New Roman" w:eastAsia="Calibri" w:hAnsi="Times New Roman" w:cs="Times New Roman"/>
          <w:sz w:val="28"/>
          <w:szCs w:val="28"/>
        </w:rPr>
        <w:t>ой</w:t>
      </w:r>
      <w:r w:rsidRPr="009B1920">
        <w:rPr>
          <w:rFonts w:ascii="Times New Roman" w:eastAsia="Calibri" w:hAnsi="Times New Roman" w:cs="Times New Roman"/>
          <w:sz w:val="28"/>
          <w:szCs w:val="28"/>
        </w:rPr>
        <w:t xml:space="preserve"> </w:t>
      </w:r>
      <w:r w:rsidR="0004449A">
        <w:rPr>
          <w:rFonts w:ascii="Times New Roman" w:eastAsia="Calibri" w:hAnsi="Times New Roman" w:cs="Times New Roman"/>
          <w:sz w:val="28"/>
          <w:szCs w:val="28"/>
        </w:rPr>
        <w:t>темп</w:t>
      </w:r>
      <w:r w:rsidRPr="009B1920">
        <w:rPr>
          <w:rFonts w:ascii="Times New Roman" w:eastAsia="Calibri" w:hAnsi="Times New Roman" w:cs="Times New Roman"/>
          <w:sz w:val="28"/>
          <w:szCs w:val="28"/>
        </w:rPr>
        <w:t xml:space="preserve"> роста в Национальном рейтинге </w:t>
      </w:r>
      <w:r w:rsidR="0004449A">
        <w:rPr>
          <w:rFonts w:ascii="Times New Roman" w:eastAsia="Calibri" w:hAnsi="Times New Roman" w:cs="Times New Roman"/>
          <w:sz w:val="28"/>
          <w:szCs w:val="28"/>
        </w:rPr>
        <w:t xml:space="preserve">демонстрируют следующие </w:t>
      </w:r>
      <w:r w:rsidRPr="009B1920">
        <w:rPr>
          <w:rFonts w:ascii="Times New Roman" w:eastAsia="Calibri" w:hAnsi="Times New Roman" w:cs="Times New Roman"/>
          <w:sz w:val="28"/>
          <w:szCs w:val="28"/>
        </w:rPr>
        <w:t>показател</w:t>
      </w:r>
      <w:r w:rsidR="0004449A">
        <w:rPr>
          <w:rFonts w:ascii="Times New Roman" w:eastAsia="Calibri" w:hAnsi="Times New Roman" w:cs="Times New Roman"/>
          <w:sz w:val="28"/>
          <w:szCs w:val="28"/>
        </w:rPr>
        <w:t>и</w:t>
      </w:r>
      <w:r w:rsidRPr="009B1920">
        <w:rPr>
          <w:rFonts w:ascii="Times New Roman" w:eastAsia="Calibri" w:hAnsi="Times New Roman" w:cs="Times New Roman"/>
          <w:sz w:val="28"/>
          <w:szCs w:val="28"/>
        </w:rPr>
        <w:t xml:space="preserve">: </w:t>
      </w:r>
    </w:p>
    <w:p w:rsidR="003546BC" w:rsidRPr="009B1920" w:rsidRDefault="003546BC" w:rsidP="003546BC">
      <w:pPr>
        <w:spacing w:after="0" w:line="360" w:lineRule="auto"/>
        <w:ind w:firstLine="709"/>
        <w:jc w:val="both"/>
        <w:rPr>
          <w:rFonts w:ascii="Times New Roman" w:eastAsia="Calibri" w:hAnsi="Times New Roman" w:cs="Times New Roman"/>
          <w:sz w:val="28"/>
          <w:szCs w:val="28"/>
        </w:rPr>
      </w:pPr>
      <w:r w:rsidRPr="009B1920">
        <w:rPr>
          <w:rFonts w:ascii="Times New Roman" w:eastAsia="Calibri" w:hAnsi="Times New Roman" w:cs="Times New Roman"/>
          <w:sz w:val="28"/>
          <w:szCs w:val="28"/>
        </w:rPr>
        <w:t xml:space="preserve">Оценка деятельности органов власти по регистрации юридических лиц (средний балл вырос с 4,33 до 4,59); </w:t>
      </w:r>
    </w:p>
    <w:p w:rsidR="003546BC" w:rsidRPr="009B1920" w:rsidRDefault="003546BC" w:rsidP="003546BC">
      <w:pPr>
        <w:spacing w:after="0" w:line="360" w:lineRule="auto"/>
        <w:ind w:firstLine="709"/>
        <w:jc w:val="both"/>
        <w:rPr>
          <w:rFonts w:ascii="Times New Roman" w:eastAsia="Calibri" w:hAnsi="Times New Roman" w:cs="Times New Roman"/>
          <w:sz w:val="28"/>
          <w:szCs w:val="28"/>
        </w:rPr>
      </w:pPr>
      <w:r w:rsidRPr="009B1920">
        <w:rPr>
          <w:rFonts w:ascii="Times New Roman" w:eastAsia="Calibri" w:hAnsi="Times New Roman" w:cs="Times New Roman"/>
          <w:sz w:val="28"/>
          <w:szCs w:val="28"/>
        </w:rPr>
        <w:t xml:space="preserve">Среднее время регистрации прав собственности (сократилось с 20,92 до 15,52 дней); </w:t>
      </w:r>
    </w:p>
    <w:p w:rsidR="003546BC" w:rsidRPr="009B1920" w:rsidRDefault="003546BC" w:rsidP="003546BC">
      <w:pPr>
        <w:spacing w:after="0" w:line="360" w:lineRule="auto"/>
        <w:ind w:firstLine="709"/>
        <w:jc w:val="both"/>
        <w:rPr>
          <w:rFonts w:ascii="Times New Roman" w:eastAsia="Calibri" w:hAnsi="Times New Roman" w:cs="Times New Roman"/>
          <w:sz w:val="28"/>
          <w:szCs w:val="28"/>
        </w:rPr>
      </w:pPr>
      <w:r w:rsidRPr="009B1920">
        <w:rPr>
          <w:rFonts w:ascii="Times New Roman" w:eastAsia="Calibri" w:hAnsi="Times New Roman" w:cs="Times New Roman"/>
          <w:sz w:val="28"/>
          <w:szCs w:val="28"/>
        </w:rPr>
        <w:t xml:space="preserve">Среднее количество процедур при регистрации прав собственности (сократилось с 6,2 до 3,97 штук); </w:t>
      </w:r>
    </w:p>
    <w:p w:rsidR="003546BC" w:rsidRPr="009B1920" w:rsidRDefault="003546BC" w:rsidP="003546BC">
      <w:pPr>
        <w:spacing w:after="0" w:line="360" w:lineRule="auto"/>
        <w:ind w:firstLine="709"/>
        <w:jc w:val="both"/>
        <w:rPr>
          <w:rFonts w:ascii="Times New Roman" w:eastAsia="Calibri" w:hAnsi="Times New Roman" w:cs="Times New Roman"/>
          <w:sz w:val="28"/>
          <w:szCs w:val="28"/>
        </w:rPr>
      </w:pPr>
      <w:r w:rsidRPr="009B1920">
        <w:rPr>
          <w:rFonts w:ascii="Times New Roman" w:eastAsia="Calibri" w:hAnsi="Times New Roman" w:cs="Times New Roman"/>
          <w:sz w:val="28"/>
          <w:szCs w:val="28"/>
        </w:rPr>
        <w:t xml:space="preserve">Оценка деятельности органов власти по регистрации прав на недвижимое имущество и сделок с ним (средний балл вырос с 4,05 до 4,46); </w:t>
      </w:r>
    </w:p>
    <w:p w:rsidR="003546BC" w:rsidRPr="009B1920" w:rsidRDefault="003546BC" w:rsidP="003546BC">
      <w:pPr>
        <w:spacing w:after="0" w:line="360" w:lineRule="auto"/>
        <w:ind w:firstLine="709"/>
        <w:jc w:val="both"/>
        <w:rPr>
          <w:rFonts w:ascii="Times New Roman" w:eastAsia="Calibri" w:hAnsi="Times New Roman" w:cs="Times New Roman"/>
          <w:sz w:val="28"/>
          <w:szCs w:val="28"/>
        </w:rPr>
      </w:pPr>
      <w:r w:rsidRPr="009B1920">
        <w:rPr>
          <w:rFonts w:ascii="Times New Roman" w:eastAsia="Calibri" w:hAnsi="Times New Roman" w:cs="Times New Roman"/>
          <w:sz w:val="28"/>
          <w:szCs w:val="28"/>
        </w:rPr>
        <w:t xml:space="preserve">Среднее время подключения к электросетям (сократилось с 124,55 до 85 дней); </w:t>
      </w:r>
    </w:p>
    <w:p w:rsidR="003546BC" w:rsidRPr="009B1920" w:rsidRDefault="003546BC" w:rsidP="003546BC">
      <w:pPr>
        <w:spacing w:after="0" w:line="360" w:lineRule="auto"/>
        <w:ind w:firstLine="709"/>
        <w:jc w:val="both"/>
        <w:rPr>
          <w:rFonts w:ascii="Times New Roman" w:eastAsia="Calibri" w:hAnsi="Times New Roman" w:cs="Times New Roman"/>
          <w:sz w:val="28"/>
          <w:szCs w:val="28"/>
        </w:rPr>
      </w:pPr>
      <w:r w:rsidRPr="009B1920">
        <w:rPr>
          <w:rFonts w:ascii="Times New Roman" w:eastAsia="Calibri" w:hAnsi="Times New Roman" w:cs="Times New Roman"/>
          <w:sz w:val="28"/>
          <w:szCs w:val="28"/>
        </w:rPr>
        <w:t xml:space="preserve">Количество запрошенных дополнительных документов у предприятия в год (сократилось с 2,64 до 1,89 штук); </w:t>
      </w:r>
    </w:p>
    <w:p w:rsidR="003546BC" w:rsidRPr="009B1920" w:rsidRDefault="003546BC" w:rsidP="003546BC">
      <w:pPr>
        <w:spacing w:after="0" w:line="360" w:lineRule="auto"/>
        <w:ind w:firstLine="709"/>
        <w:jc w:val="both"/>
        <w:rPr>
          <w:rFonts w:ascii="Times New Roman" w:eastAsia="Calibri" w:hAnsi="Times New Roman" w:cs="Times New Roman"/>
          <w:sz w:val="28"/>
          <w:szCs w:val="28"/>
        </w:rPr>
      </w:pPr>
      <w:r w:rsidRPr="009B1920">
        <w:rPr>
          <w:rFonts w:ascii="Times New Roman" w:eastAsia="Calibri" w:hAnsi="Times New Roman" w:cs="Times New Roman"/>
          <w:sz w:val="28"/>
          <w:szCs w:val="28"/>
        </w:rPr>
        <w:t xml:space="preserve">Среднее количество контрольно-надзорных мероприятий в год (сократилось с 1,6 до 1,39 штук); </w:t>
      </w:r>
    </w:p>
    <w:p w:rsidR="003546BC" w:rsidRPr="009B1920" w:rsidRDefault="003546BC" w:rsidP="003546BC">
      <w:pPr>
        <w:spacing w:after="0" w:line="360" w:lineRule="auto"/>
        <w:ind w:firstLine="709"/>
        <w:jc w:val="both"/>
        <w:rPr>
          <w:rFonts w:ascii="Times New Roman" w:eastAsia="Calibri" w:hAnsi="Times New Roman" w:cs="Times New Roman"/>
          <w:sz w:val="28"/>
          <w:szCs w:val="28"/>
        </w:rPr>
      </w:pPr>
      <w:r w:rsidRPr="009B1920">
        <w:rPr>
          <w:rFonts w:ascii="Times New Roman" w:eastAsia="Calibri" w:hAnsi="Times New Roman" w:cs="Times New Roman"/>
          <w:sz w:val="28"/>
          <w:szCs w:val="28"/>
        </w:rPr>
        <w:t xml:space="preserve">Оценка качества телекоммуникационных услуг предпринимателями (средний балл вырос с 3,46 до 3,52); </w:t>
      </w:r>
    </w:p>
    <w:p w:rsidR="003546BC" w:rsidRPr="009B1920" w:rsidRDefault="003546BC" w:rsidP="003546BC">
      <w:pPr>
        <w:spacing w:after="0" w:line="360" w:lineRule="auto"/>
        <w:ind w:firstLine="709"/>
        <w:jc w:val="both"/>
        <w:rPr>
          <w:rFonts w:ascii="Times New Roman" w:eastAsia="Calibri" w:hAnsi="Times New Roman" w:cs="Times New Roman"/>
          <w:sz w:val="28"/>
          <w:szCs w:val="28"/>
        </w:rPr>
      </w:pPr>
      <w:r w:rsidRPr="009B1920">
        <w:rPr>
          <w:rFonts w:ascii="Times New Roman" w:eastAsia="Calibri" w:hAnsi="Times New Roman" w:cs="Times New Roman"/>
          <w:sz w:val="28"/>
          <w:szCs w:val="28"/>
        </w:rPr>
        <w:t xml:space="preserve">Оценка деятельности органов власти по постановке на кадастровый учет (средний балл вырос с 4,32 до 4,54); </w:t>
      </w:r>
    </w:p>
    <w:p w:rsidR="003546BC" w:rsidRPr="009B1920" w:rsidRDefault="003546BC" w:rsidP="003546BC">
      <w:pPr>
        <w:spacing w:after="0" w:line="360" w:lineRule="auto"/>
        <w:ind w:firstLine="709"/>
        <w:jc w:val="both"/>
        <w:rPr>
          <w:rFonts w:ascii="Times New Roman" w:eastAsia="Calibri" w:hAnsi="Times New Roman" w:cs="Times New Roman"/>
          <w:sz w:val="28"/>
          <w:szCs w:val="28"/>
        </w:rPr>
      </w:pPr>
      <w:r w:rsidRPr="009B1920">
        <w:rPr>
          <w:rFonts w:ascii="Times New Roman" w:eastAsia="Calibri" w:hAnsi="Times New Roman" w:cs="Times New Roman"/>
          <w:sz w:val="28"/>
          <w:szCs w:val="28"/>
        </w:rPr>
        <w:t xml:space="preserve">Время постановки на кадастровый учет (сократилось с 38,3 до 25,5 дней); </w:t>
      </w:r>
    </w:p>
    <w:p w:rsidR="003546BC" w:rsidRPr="009B1920" w:rsidRDefault="003546BC" w:rsidP="003546BC">
      <w:pPr>
        <w:spacing w:after="0" w:line="360" w:lineRule="auto"/>
        <w:ind w:firstLine="709"/>
        <w:jc w:val="both"/>
        <w:rPr>
          <w:rFonts w:ascii="Times New Roman" w:eastAsia="Calibri" w:hAnsi="Times New Roman" w:cs="Times New Roman"/>
          <w:sz w:val="28"/>
          <w:szCs w:val="28"/>
        </w:rPr>
      </w:pPr>
      <w:r w:rsidRPr="009B1920">
        <w:rPr>
          <w:rFonts w:ascii="Times New Roman" w:eastAsia="Calibri" w:hAnsi="Times New Roman" w:cs="Times New Roman"/>
          <w:sz w:val="28"/>
          <w:szCs w:val="28"/>
        </w:rPr>
        <w:t>Оценка доступности кредитных ресурсов (средний балл вырос с 2,98 до 2,99).</w:t>
      </w:r>
    </w:p>
    <w:p w:rsidR="00801570" w:rsidRPr="00BB5127" w:rsidRDefault="003546BC" w:rsidP="00801570">
      <w:pPr>
        <w:spacing w:after="0" w:line="360" w:lineRule="auto"/>
        <w:ind w:firstLine="709"/>
        <w:jc w:val="both"/>
        <w:rPr>
          <w:rFonts w:ascii="Times New Roman" w:hAnsi="Times New Roman" w:cs="Times New Roman"/>
          <w:b/>
          <w:sz w:val="28"/>
          <w:szCs w:val="28"/>
        </w:rPr>
      </w:pPr>
      <w:r w:rsidRPr="00BB5127">
        <w:rPr>
          <w:rFonts w:ascii="Times New Roman" w:hAnsi="Times New Roman" w:cs="Times New Roman"/>
          <w:b/>
          <w:sz w:val="28"/>
          <w:szCs w:val="28"/>
        </w:rPr>
        <w:lastRenderedPageBreak/>
        <w:t>По п</w:t>
      </w:r>
      <w:r w:rsidR="00801570" w:rsidRPr="00BB5127">
        <w:rPr>
          <w:rFonts w:ascii="Times New Roman" w:hAnsi="Times New Roman" w:cs="Times New Roman"/>
          <w:b/>
          <w:sz w:val="28"/>
          <w:szCs w:val="28"/>
        </w:rPr>
        <w:t>одпрограмм</w:t>
      </w:r>
      <w:r w:rsidRPr="00BB5127">
        <w:rPr>
          <w:rFonts w:ascii="Times New Roman" w:hAnsi="Times New Roman" w:cs="Times New Roman"/>
          <w:b/>
          <w:sz w:val="28"/>
          <w:szCs w:val="28"/>
        </w:rPr>
        <w:t>е</w:t>
      </w:r>
      <w:r w:rsidR="00801570" w:rsidRPr="00BB5127">
        <w:rPr>
          <w:rFonts w:ascii="Times New Roman" w:hAnsi="Times New Roman" w:cs="Times New Roman"/>
          <w:b/>
          <w:sz w:val="28"/>
          <w:szCs w:val="28"/>
        </w:rPr>
        <w:t xml:space="preserve"> </w:t>
      </w:r>
      <w:r w:rsidR="003F5B9F" w:rsidRPr="00BB5127">
        <w:rPr>
          <w:rFonts w:ascii="Times New Roman" w:hAnsi="Times New Roman" w:cs="Times New Roman"/>
          <w:b/>
          <w:sz w:val="28"/>
          <w:szCs w:val="28"/>
          <w:lang w:val="en-US"/>
        </w:rPr>
        <w:t>VI</w:t>
      </w:r>
      <w:r w:rsidR="003F5B9F" w:rsidRPr="00BB5127">
        <w:rPr>
          <w:rFonts w:ascii="Times New Roman" w:hAnsi="Times New Roman" w:cs="Times New Roman"/>
          <w:b/>
          <w:sz w:val="28"/>
          <w:szCs w:val="28"/>
        </w:rPr>
        <w:t xml:space="preserve"> </w:t>
      </w:r>
      <w:r w:rsidR="00801570" w:rsidRPr="00BB5127">
        <w:rPr>
          <w:rFonts w:ascii="Times New Roman" w:hAnsi="Times New Roman" w:cs="Times New Roman"/>
          <w:b/>
          <w:sz w:val="28"/>
          <w:szCs w:val="28"/>
        </w:rPr>
        <w:t>«Стимулирование инновационной деятельности»</w:t>
      </w:r>
    </w:p>
    <w:p w:rsidR="00870765" w:rsidRPr="00270B31" w:rsidRDefault="00870765" w:rsidP="00270B31">
      <w:pPr>
        <w:spacing w:after="0" w:line="360" w:lineRule="auto"/>
        <w:ind w:firstLine="709"/>
        <w:jc w:val="both"/>
        <w:rPr>
          <w:rFonts w:ascii="Times New Roman" w:hAnsi="Times New Roman" w:cs="Times New Roman"/>
          <w:sz w:val="28"/>
          <w:szCs w:val="28"/>
        </w:rPr>
      </w:pPr>
      <w:r w:rsidRPr="00270B31">
        <w:rPr>
          <w:rFonts w:ascii="Times New Roman" w:hAnsi="Times New Roman" w:cs="Times New Roman"/>
          <w:sz w:val="28"/>
          <w:szCs w:val="28"/>
        </w:rPr>
        <w:t xml:space="preserve">В послании Президента Российской Федерации </w:t>
      </w:r>
      <w:proofErr w:type="spellStart"/>
      <w:r w:rsidRPr="00270B31">
        <w:rPr>
          <w:rFonts w:ascii="Times New Roman" w:hAnsi="Times New Roman" w:cs="Times New Roman"/>
          <w:sz w:val="28"/>
          <w:szCs w:val="28"/>
        </w:rPr>
        <w:t>В.В.Путина</w:t>
      </w:r>
      <w:proofErr w:type="spellEnd"/>
      <w:r w:rsidRPr="00270B31">
        <w:rPr>
          <w:rFonts w:ascii="Times New Roman" w:hAnsi="Times New Roman" w:cs="Times New Roman"/>
          <w:sz w:val="28"/>
          <w:szCs w:val="28"/>
        </w:rPr>
        <w:t xml:space="preserve"> Федеральному собранию от 4 декабря 2014 года одним из приоритетов государственной политики Российской Федерации объявлена реализация Национальной технологической инициативы (далее также – НТИ).</w:t>
      </w:r>
    </w:p>
    <w:p w:rsidR="00870765" w:rsidRPr="00270B31" w:rsidRDefault="00870765" w:rsidP="00270B31">
      <w:pPr>
        <w:spacing w:after="0" w:line="360" w:lineRule="auto"/>
        <w:ind w:firstLine="709"/>
        <w:jc w:val="both"/>
        <w:rPr>
          <w:rFonts w:ascii="Times New Roman" w:hAnsi="Times New Roman" w:cs="Times New Roman"/>
          <w:sz w:val="28"/>
          <w:szCs w:val="28"/>
        </w:rPr>
      </w:pPr>
      <w:proofErr w:type="gramStart"/>
      <w:r w:rsidRPr="00270B31">
        <w:rPr>
          <w:rFonts w:ascii="Times New Roman" w:hAnsi="Times New Roman" w:cs="Times New Roman"/>
          <w:sz w:val="28"/>
          <w:szCs w:val="28"/>
        </w:rPr>
        <w:t xml:space="preserve">Реальной альтернативой </w:t>
      </w:r>
      <w:proofErr w:type="spellStart"/>
      <w:r w:rsidRPr="00270B31">
        <w:rPr>
          <w:rFonts w:ascii="Times New Roman" w:hAnsi="Times New Roman" w:cs="Times New Roman"/>
          <w:sz w:val="28"/>
          <w:szCs w:val="28"/>
        </w:rPr>
        <w:t>мононаправленной</w:t>
      </w:r>
      <w:proofErr w:type="spellEnd"/>
      <w:r w:rsidRPr="00270B31">
        <w:rPr>
          <w:rFonts w:ascii="Times New Roman" w:hAnsi="Times New Roman" w:cs="Times New Roman"/>
          <w:sz w:val="28"/>
          <w:szCs w:val="28"/>
        </w:rPr>
        <w:t xml:space="preserve"> экономике Югры является стратегия инновационного развития, опирающаяся на одно из наших главных конкурентных преимуществ </w:t>
      </w:r>
      <w:r w:rsidR="00BB5127">
        <w:rPr>
          <w:rFonts w:ascii="Times New Roman" w:hAnsi="Times New Roman" w:cs="Times New Roman"/>
          <w:sz w:val="28"/>
          <w:szCs w:val="28"/>
        </w:rPr>
        <w:t>–</w:t>
      </w:r>
      <w:r w:rsidRPr="00270B31">
        <w:rPr>
          <w:rFonts w:ascii="Times New Roman" w:hAnsi="Times New Roman" w:cs="Times New Roman"/>
          <w:sz w:val="28"/>
          <w:szCs w:val="28"/>
        </w:rPr>
        <w:t xml:space="preserve"> на</w:t>
      </w:r>
      <w:r w:rsidR="00BB5127">
        <w:rPr>
          <w:rFonts w:ascii="Times New Roman" w:hAnsi="Times New Roman" w:cs="Times New Roman"/>
          <w:sz w:val="28"/>
          <w:szCs w:val="28"/>
        </w:rPr>
        <w:t xml:space="preserve"> </w:t>
      </w:r>
      <w:r w:rsidRPr="00270B31">
        <w:rPr>
          <w:rFonts w:ascii="Times New Roman" w:hAnsi="Times New Roman" w:cs="Times New Roman"/>
          <w:sz w:val="28"/>
          <w:szCs w:val="28"/>
        </w:rPr>
        <w:t>реализацию человеческого потенциала, на наиболее эффективное применение знаний и умений людей для постоянного улучшения технологий, экономических результатов, жизни общества в целом.</w:t>
      </w:r>
      <w:proofErr w:type="gramEnd"/>
    </w:p>
    <w:p w:rsidR="001D5548" w:rsidRDefault="00870765" w:rsidP="001D5548">
      <w:pPr>
        <w:spacing w:after="0" w:line="360" w:lineRule="auto"/>
        <w:ind w:firstLine="709"/>
        <w:jc w:val="both"/>
        <w:rPr>
          <w:rFonts w:ascii="Times New Roman" w:hAnsi="Times New Roman" w:cs="Times New Roman"/>
          <w:sz w:val="28"/>
          <w:szCs w:val="28"/>
        </w:rPr>
      </w:pPr>
      <w:r w:rsidRPr="00270B31">
        <w:rPr>
          <w:rFonts w:ascii="Times New Roman" w:hAnsi="Times New Roman" w:cs="Times New Roman"/>
          <w:sz w:val="28"/>
          <w:szCs w:val="28"/>
        </w:rPr>
        <w:t xml:space="preserve">В Стратегии – 2030 предложено новое направление </w:t>
      </w:r>
      <w:r w:rsidR="00AB76F9">
        <w:rPr>
          <w:rFonts w:ascii="Times New Roman" w:hAnsi="Times New Roman" w:cs="Times New Roman"/>
          <w:sz w:val="28"/>
          <w:szCs w:val="28"/>
        </w:rPr>
        <w:t xml:space="preserve">достижения основной цели социально-экономического развития </w:t>
      </w:r>
      <w:r w:rsidR="00AB76F9" w:rsidRPr="00270B31">
        <w:rPr>
          <w:rFonts w:ascii="Times New Roman" w:hAnsi="Times New Roman" w:cs="Times New Roman"/>
          <w:sz w:val="28"/>
          <w:szCs w:val="28"/>
        </w:rPr>
        <w:t>–</w:t>
      </w:r>
      <w:r w:rsidRPr="00270B31">
        <w:rPr>
          <w:rFonts w:ascii="Times New Roman" w:hAnsi="Times New Roman" w:cs="Times New Roman"/>
          <w:sz w:val="28"/>
          <w:szCs w:val="28"/>
        </w:rPr>
        <w:t xml:space="preserve"> реализация Национальной технологической инициативы</w:t>
      </w:r>
      <w:r w:rsidR="00AB76F9">
        <w:rPr>
          <w:rFonts w:ascii="Times New Roman" w:hAnsi="Times New Roman" w:cs="Times New Roman"/>
          <w:sz w:val="28"/>
          <w:szCs w:val="28"/>
        </w:rPr>
        <w:t>, которая сосредоточена на обеспеч</w:t>
      </w:r>
      <w:r w:rsidR="0004449A" w:rsidRPr="0004449A">
        <w:rPr>
          <w:rFonts w:ascii="Times New Roman" w:hAnsi="Times New Roman" w:cs="Times New Roman"/>
          <w:sz w:val="28"/>
          <w:szCs w:val="28"/>
        </w:rPr>
        <w:t>ени</w:t>
      </w:r>
      <w:r w:rsidR="00AB76F9">
        <w:rPr>
          <w:rFonts w:ascii="Times New Roman" w:hAnsi="Times New Roman" w:cs="Times New Roman"/>
          <w:sz w:val="28"/>
          <w:szCs w:val="28"/>
        </w:rPr>
        <w:t>и</w:t>
      </w:r>
      <w:r w:rsidR="0004449A" w:rsidRPr="0004449A">
        <w:rPr>
          <w:rFonts w:ascii="Times New Roman" w:hAnsi="Times New Roman" w:cs="Times New Roman"/>
          <w:sz w:val="28"/>
          <w:szCs w:val="28"/>
        </w:rPr>
        <w:t xml:space="preserve"> независимости и конкурентоспособности страны за счет создания эффективной системы наращивания и наиболее полного использования интеллектуального потенциала нации</w:t>
      </w:r>
      <w:r w:rsidR="00AB76F9">
        <w:rPr>
          <w:rFonts w:ascii="Times New Roman" w:hAnsi="Times New Roman" w:cs="Times New Roman"/>
          <w:sz w:val="28"/>
          <w:szCs w:val="28"/>
        </w:rPr>
        <w:t>.</w:t>
      </w:r>
    </w:p>
    <w:p w:rsidR="001D5548" w:rsidRDefault="0004449A" w:rsidP="001D5548">
      <w:pPr>
        <w:spacing w:after="0" w:line="360" w:lineRule="auto"/>
        <w:ind w:firstLine="709"/>
        <w:jc w:val="both"/>
        <w:rPr>
          <w:rFonts w:ascii="Times New Roman" w:hAnsi="Times New Roman"/>
          <w:sz w:val="28"/>
          <w:szCs w:val="28"/>
        </w:rPr>
      </w:pPr>
      <w:r>
        <w:rPr>
          <w:rFonts w:ascii="Times New Roman" w:hAnsi="Times New Roman"/>
          <w:sz w:val="28"/>
          <w:szCs w:val="28"/>
        </w:rPr>
        <w:t xml:space="preserve">Возможности Югры: молодая структура населения, созданная материальная база </w:t>
      </w:r>
      <w:proofErr w:type="spellStart"/>
      <w:r>
        <w:rPr>
          <w:rFonts w:ascii="Times New Roman" w:hAnsi="Times New Roman"/>
          <w:sz w:val="28"/>
          <w:szCs w:val="28"/>
        </w:rPr>
        <w:t>ВУЗовского</w:t>
      </w:r>
      <w:proofErr w:type="spellEnd"/>
      <w:r>
        <w:rPr>
          <w:rFonts w:ascii="Times New Roman" w:hAnsi="Times New Roman"/>
          <w:sz w:val="28"/>
          <w:szCs w:val="28"/>
        </w:rPr>
        <w:t xml:space="preserve"> образования, инновационная инфраструктура, меры государственной поддержки как финансовые, так и организационные, обеспечили деловой настрой всех участников, вовлекаемых в процесс реализаци</w:t>
      </w:r>
      <w:r w:rsidR="00AB76F9">
        <w:rPr>
          <w:rFonts w:ascii="Times New Roman" w:hAnsi="Times New Roman"/>
          <w:sz w:val="28"/>
          <w:szCs w:val="28"/>
        </w:rPr>
        <w:t>и</w:t>
      </w:r>
      <w:r>
        <w:rPr>
          <w:rFonts w:ascii="Times New Roman" w:hAnsi="Times New Roman"/>
          <w:sz w:val="28"/>
          <w:szCs w:val="28"/>
        </w:rPr>
        <w:t xml:space="preserve"> Национальной технологической инициативы</w:t>
      </w:r>
      <w:r w:rsidR="00AB76F9">
        <w:rPr>
          <w:rFonts w:ascii="Times New Roman" w:hAnsi="Times New Roman"/>
          <w:sz w:val="28"/>
          <w:szCs w:val="28"/>
        </w:rPr>
        <w:t xml:space="preserve"> (далее – НТИ)</w:t>
      </w:r>
      <w:r>
        <w:rPr>
          <w:rFonts w:ascii="Times New Roman" w:hAnsi="Times New Roman"/>
          <w:sz w:val="28"/>
          <w:szCs w:val="28"/>
        </w:rPr>
        <w:t xml:space="preserve">. </w:t>
      </w:r>
    </w:p>
    <w:p w:rsidR="0004449A" w:rsidRDefault="0004449A" w:rsidP="001D5548">
      <w:pPr>
        <w:spacing w:after="0" w:line="360" w:lineRule="auto"/>
        <w:ind w:firstLine="709"/>
        <w:jc w:val="both"/>
        <w:rPr>
          <w:rFonts w:ascii="Times New Roman" w:hAnsi="Times New Roman"/>
          <w:sz w:val="28"/>
          <w:szCs w:val="28"/>
        </w:rPr>
      </w:pPr>
      <w:r>
        <w:rPr>
          <w:rFonts w:ascii="Times New Roman" w:hAnsi="Times New Roman"/>
          <w:sz w:val="28"/>
          <w:szCs w:val="28"/>
        </w:rPr>
        <w:t xml:space="preserve">Усилия проектных, творческих команд и динамично развивающихся компаний, которые готовы применять передовые разработки, вместе с университетами Югры, организациями инновационной инфраструктуры постепенно объединяются. </w:t>
      </w:r>
    </w:p>
    <w:p w:rsidR="0004449A" w:rsidRDefault="0004449A" w:rsidP="0004449A">
      <w:pPr>
        <w:keepNext/>
        <w:spacing w:after="0" w:line="360" w:lineRule="auto"/>
        <w:ind w:firstLine="709"/>
        <w:jc w:val="both"/>
        <w:rPr>
          <w:rFonts w:ascii="Times New Roman" w:hAnsi="Times New Roman"/>
          <w:sz w:val="28"/>
          <w:szCs w:val="28"/>
        </w:rPr>
      </w:pPr>
      <w:proofErr w:type="gramStart"/>
      <w:r>
        <w:rPr>
          <w:rFonts w:ascii="Times New Roman" w:hAnsi="Times New Roman"/>
          <w:sz w:val="28"/>
          <w:szCs w:val="28"/>
        </w:rPr>
        <w:lastRenderedPageBreak/>
        <w:t xml:space="preserve">Для правового обеспечения НТИ в автономном округе приняты: </w:t>
      </w:r>
      <w:proofErr w:type="gramEnd"/>
    </w:p>
    <w:p w:rsidR="0004449A" w:rsidRDefault="0004449A" w:rsidP="0004449A">
      <w:pPr>
        <w:keepNext/>
        <w:spacing w:after="0" w:line="360" w:lineRule="auto"/>
        <w:ind w:firstLine="709"/>
        <w:jc w:val="both"/>
        <w:rPr>
          <w:rFonts w:ascii="Times New Roman" w:hAnsi="Times New Roman"/>
          <w:sz w:val="28"/>
          <w:szCs w:val="28"/>
        </w:rPr>
      </w:pPr>
      <w:r>
        <w:rPr>
          <w:rFonts w:ascii="Times New Roman" w:hAnsi="Times New Roman"/>
          <w:sz w:val="28"/>
          <w:szCs w:val="28"/>
        </w:rPr>
        <w:t>Закон автономного округа о промышленной политике</w:t>
      </w:r>
      <w:r w:rsidR="001D5548">
        <w:rPr>
          <w:rStyle w:val="aa"/>
          <w:rFonts w:ascii="Times New Roman" w:hAnsi="Times New Roman"/>
          <w:sz w:val="28"/>
          <w:szCs w:val="28"/>
        </w:rPr>
        <w:footnoteReference w:customMarkFollows="1" w:id="2"/>
        <w:t>2</w:t>
      </w:r>
      <w:r>
        <w:rPr>
          <w:rFonts w:ascii="Times New Roman" w:hAnsi="Times New Roman"/>
          <w:sz w:val="28"/>
          <w:szCs w:val="28"/>
        </w:rPr>
        <w:t xml:space="preserve">; </w:t>
      </w:r>
    </w:p>
    <w:p w:rsidR="0004449A" w:rsidRDefault="0004449A" w:rsidP="0004449A">
      <w:pPr>
        <w:keepNext/>
        <w:spacing w:after="0" w:line="360" w:lineRule="auto"/>
        <w:ind w:firstLine="709"/>
        <w:jc w:val="both"/>
        <w:rPr>
          <w:rFonts w:ascii="Times New Roman" w:hAnsi="Times New Roman"/>
          <w:sz w:val="28"/>
          <w:szCs w:val="28"/>
        </w:rPr>
      </w:pPr>
      <w:r>
        <w:rPr>
          <w:rFonts w:ascii="Times New Roman" w:hAnsi="Times New Roman"/>
          <w:sz w:val="28"/>
          <w:szCs w:val="28"/>
        </w:rPr>
        <w:t>Концепция промышленной политики</w:t>
      </w:r>
      <w:r w:rsidR="001D5548">
        <w:rPr>
          <w:rStyle w:val="aa"/>
          <w:rFonts w:ascii="Times New Roman" w:hAnsi="Times New Roman"/>
          <w:sz w:val="28"/>
          <w:szCs w:val="28"/>
        </w:rPr>
        <w:footnoteReference w:customMarkFollows="1" w:id="3"/>
        <w:t>3</w:t>
      </w:r>
      <w:r w:rsidR="00AB76F9">
        <w:rPr>
          <w:rFonts w:ascii="Times New Roman" w:hAnsi="Times New Roman"/>
          <w:sz w:val="28"/>
          <w:szCs w:val="28"/>
        </w:rPr>
        <w:t>;</w:t>
      </w:r>
    </w:p>
    <w:p w:rsidR="0004449A" w:rsidRDefault="00AB76F9" w:rsidP="0004449A">
      <w:pPr>
        <w:keepNext/>
        <w:spacing w:after="0" w:line="360" w:lineRule="auto"/>
        <w:ind w:firstLine="709"/>
        <w:jc w:val="both"/>
        <w:rPr>
          <w:rFonts w:ascii="Times New Roman" w:hAnsi="Times New Roman"/>
          <w:sz w:val="28"/>
          <w:szCs w:val="28"/>
        </w:rPr>
      </w:pPr>
      <w:r>
        <w:rPr>
          <w:rFonts w:ascii="Times New Roman" w:hAnsi="Times New Roman"/>
          <w:sz w:val="28"/>
          <w:szCs w:val="28"/>
        </w:rPr>
        <w:t>Формируется</w:t>
      </w:r>
      <w:r w:rsidR="0004449A">
        <w:rPr>
          <w:rFonts w:ascii="Times New Roman" w:hAnsi="Times New Roman"/>
          <w:sz w:val="28"/>
          <w:szCs w:val="28"/>
        </w:rPr>
        <w:t xml:space="preserve"> </w:t>
      </w:r>
      <w:r>
        <w:rPr>
          <w:rFonts w:ascii="Times New Roman" w:hAnsi="Times New Roman"/>
          <w:sz w:val="28"/>
          <w:szCs w:val="28"/>
        </w:rPr>
        <w:t xml:space="preserve">государственная программа </w:t>
      </w:r>
      <w:r w:rsidR="0004449A">
        <w:rPr>
          <w:rFonts w:ascii="Times New Roman" w:hAnsi="Times New Roman"/>
          <w:sz w:val="28"/>
          <w:szCs w:val="28"/>
        </w:rPr>
        <w:t>«Развитие промышленности до 2025 года».</w:t>
      </w:r>
    </w:p>
    <w:p w:rsidR="0004449A" w:rsidRDefault="0004449A" w:rsidP="0004449A">
      <w:pPr>
        <w:keepNext/>
        <w:spacing w:after="0" w:line="360" w:lineRule="auto"/>
        <w:ind w:firstLine="709"/>
        <w:jc w:val="both"/>
        <w:rPr>
          <w:rFonts w:ascii="Times New Roman" w:hAnsi="Times New Roman"/>
          <w:sz w:val="28"/>
          <w:szCs w:val="28"/>
        </w:rPr>
      </w:pPr>
      <w:proofErr w:type="gramStart"/>
      <w:r>
        <w:rPr>
          <w:rFonts w:ascii="Times New Roman" w:hAnsi="Times New Roman"/>
          <w:sz w:val="28"/>
          <w:szCs w:val="28"/>
        </w:rPr>
        <w:t xml:space="preserve">В современных условиях формой инновационной модернизации экономики призваны стать индустриальные парки, важность развития которых продиктована потребностью в эффективных интеграционных и коммуникационных площадках  взаимодействия науки и производства, на основе которых может осуществляться расширение научно-производственной кооперации, расширение спектра возможных направлений технологической модернизации экономики и повышение ее конкурентоспособности за счет развития научно-производственных партнерств, нацеленных на формирование «центров превосходства» в высокотехнологичных видах экономической деятельности. </w:t>
      </w:r>
      <w:proofErr w:type="gramEnd"/>
    </w:p>
    <w:p w:rsidR="005B52CF" w:rsidRPr="009B1920" w:rsidRDefault="005B52CF" w:rsidP="005B52CF">
      <w:pPr>
        <w:spacing w:after="0" w:line="360" w:lineRule="auto"/>
        <w:ind w:firstLine="709"/>
        <w:jc w:val="both"/>
        <w:rPr>
          <w:rFonts w:ascii="Times New Roman" w:eastAsia="Calibri" w:hAnsi="Times New Roman" w:cs="Times New Roman"/>
          <w:sz w:val="28"/>
          <w:szCs w:val="28"/>
        </w:rPr>
      </w:pPr>
      <w:r w:rsidRPr="009B1920">
        <w:rPr>
          <w:rFonts w:ascii="Times New Roman" w:eastAsia="Calibri" w:hAnsi="Times New Roman" w:cs="Times New Roman"/>
          <w:sz w:val="28"/>
          <w:szCs w:val="28"/>
        </w:rPr>
        <w:t>Примерами успешной реализации инновационных проектов малых и средних инновационных компаний автономного округа являются: проект компан</w:t>
      </w:r>
      <w:proofErr w:type="gramStart"/>
      <w:r w:rsidRPr="009B1920">
        <w:rPr>
          <w:rFonts w:ascii="Times New Roman" w:eastAsia="Calibri" w:hAnsi="Times New Roman" w:cs="Times New Roman"/>
          <w:sz w:val="28"/>
          <w:szCs w:val="28"/>
        </w:rPr>
        <w:t>ии ООО</w:t>
      </w:r>
      <w:proofErr w:type="gramEnd"/>
      <w:r w:rsidRPr="009B1920">
        <w:rPr>
          <w:rFonts w:ascii="Times New Roman" w:eastAsia="Calibri" w:hAnsi="Times New Roman" w:cs="Times New Roman"/>
          <w:sz w:val="28"/>
          <w:szCs w:val="28"/>
        </w:rPr>
        <w:t xml:space="preserve"> «СИТЭК-Западная Сибирь» по повышению эффективности ремонта нефтяных скважин за счет внедрения инновационных технологий и материалов собственного производства при проведении ремонтно-изоляционных и </w:t>
      </w:r>
      <w:proofErr w:type="spellStart"/>
      <w:r w:rsidRPr="009B1920">
        <w:rPr>
          <w:rFonts w:ascii="Times New Roman" w:eastAsia="Calibri" w:hAnsi="Times New Roman" w:cs="Times New Roman"/>
          <w:sz w:val="28"/>
          <w:szCs w:val="28"/>
        </w:rPr>
        <w:t>тампонажных</w:t>
      </w:r>
      <w:proofErr w:type="spellEnd"/>
      <w:r w:rsidRPr="009B1920">
        <w:rPr>
          <w:rFonts w:ascii="Times New Roman" w:eastAsia="Calibri" w:hAnsi="Times New Roman" w:cs="Times New Roman"/>
          <w:sz w:val="28"/>
          <w:szCs w:val="28"/>
        </w:rPr>
        <w:t xml:space="preserve"> работ; проект малой инновационной компан</w:t>
      </w:r>
      <w:proofErr w:type="gramStart"/>
      <w:r w:rsidRPr="009B1920">
        <w:rPr>
          <w:rFonts w:ascii="Times New Roman" w:eastAsia="Calibri" w:hAnsi="Times New Roman" w:cs="Times New Roman"/>
          <w:sz w:val="28"/>
          <w:szCs w:val="28"/>
        </w:rPr>
        <w:t>ии ООО</w:t>
      </w:r>
      <w:proofErr w:type="gramEnd"/>
      <w:r w:rsidRPr="009B1920">
        <w:rPr>
          <w:rFonts w:ascii="Times New Roman" w:eastAsia="Calibri" w:hAnsi="Times New Roman" w:cs="Times New Roman"/>
          <w:sz w:val="28"/>
          <w:szCs w:val="28"/>
        </w:rPr>
        <w:t xml:space="preserve"> «</w:t>
      </w:r>
      <w:proofErr w:type="spellStart"/>
      <w:r w:rsidRPr="009B1920">
        <w:rPr>
          <w:rFonts w:ascii="Times New Roman" w:eastAsia="Calibri" w:hAnsi="Times New Roman" w:cs="Times New Roman"/>
          <w:sz w:val="28"/>
          <w:szCs w:val="28"/>
        </w:rPr>
        <w:t>ЭлСи</w:t>
      </w:r>
      <w:proofErr w:type="spellEnd"/>
      <w:r w:rsidRPr="009B1920">
        <w:rPr>
          <w:rFonts w:ascii="Times New Roman" w:eastAsia="Calibri" w:hAnsi="Times New Roman" w:cs="Times New Roman"/>
          <w:sz w:val="28"/>
          <w:szCs w:val="28"/>
        </w:rPr>
        <w:t xml:space="preserve"> Плюс» по разработке и внедрению программ обеспечения для создания процессингового центра обработки платежей, позволяющего увеличить количество принятых платежей и качество оказываемых услуг, который реализуется в г. Ханты-Мансийске и представляет собой разработку терминалов платежной системы E-UGRA; проект ООО «Малое инновационное предприятие научно-исследовательский институт медико-биологических проблем Югры </w:t>
      </w:r>
      <w:r w:rsidRPr="009B1920">
        <w:rPr>
          <w:rFonts w:ascii="Times New Roman" w:eastAsia="Calibri" w:hAnsi="Times New Roman" w:cs="Times New Roman"/>
          <w:sz w:val="28"/>
          <w:szCs w:val="28"/>
        </w:rPr>
        <w:lastRenderedPageBreak/>
        <w:t>«Клиника «Свой доктор» по разработке и внедрению в клиническую практику скрининг системы и мультимедийной экспертной системы в комплексе диагностики, лечения и профилактики у больных с заболеваниями опорно-двигательного аппарата.</w:t>
      </w:r>
    </w:p>
    <w:p w:rsidR="005B52CF" w:rsidRPr="009B1920" w:rsidRDefault="005B52CF" w:rsidP="005B52CF">
      <w:pPr>
        <w:spacing w:after="0" w:line="360" w:lineRule="auto"/>
        <w:ind w:firstLine="709"/>
        <w:jc w:val="both"/>
        <w:rPr>
          <w:rFonts w:ascii="Times New Roman" w:eastAsia="Calibri" w:hAnsi="Times New Roman" w:cs="Times New Roman"/>
          <w:sz w:val="28"/>
          <w:szCs w:val="28"/>
        </w:rPr>
      </w:pPr>
      <w:r w:rsidRPr="009B1920">
        <w:rPr>
          <w:rFonts w:ascii="Times New Roman" w:eastAsia="Calibri" w:hAnsi="Times New Roman" w:cs="Times New Roman"/>
          <w:sz w:val="28"/>
          <w:szCs w:val="28"/>
        </w:rPr>
        <w:t xml:space="preserve">В соответствии с поручением Президента Российской Федерации </w:t>
      </w:r>
      <w:proofErr w:type="spellStart"/>
      <w:r w:rsidRPr="009B1920">
        <w:rPr>
          <w:rFonts w:ascii="Times New Roman" w:eastAsia="Calibri" w:hAnsi="Times New Roman" w:cs="Times New Roman"/>
          <w:sz w:val="28"/>
          <w:szCs w:val="28"/>
        </w:rPr>
        <w:t>В.В.Путина</w:t>
      </w:r>
      <w:proofErr w:type="spellEnd"/>
      <w:r w:rsidRPr="009B1920">
        <w:rPr>
          <w:rFonts w:ascii="Times New Roman" w:eastAsia="Calibri" w:hAnsi="Times New Roman" w:cs="Times New Roman"/>
          <w:sz w:val="28"/>
          <w:szCs w:val="28"/>
        </w:rPr>
        <w:t xml:space="preserve"> АНО «Агентство стратегических инициатив по продвижению новых проектов» осуществляет реализацию стратегической инициативы «Новая модель системы дополнительного образования детей», в которой Ханты-Мансийский автономный округ – Югра определён как один из пилотных регионов. В июне 2015 года на XIX Петербургском международном экономическом форуме подписано соглашение о сотрудничестве между Правительством Югры и АНО «Агентство стратегических инициатив по продвижению новых проектов». </w:t>
      </w:r>
    </w:p>
    <w:p w:rsidR="005B52CF" w:rsidRPr="009B1920" w:rsidRDefault="005B52CF" w:rsidP="005B52CF">
      <w:pPr>
        <w:spacing w:after="0" w:line="360" w:lineRule="auto"/>
        <w:ind w:firstLine="709"/>
        <w:jc w:val="both"/>
        <w:rPr>
          <w:rFonts w:ascii="Times New Roman" w:eastAsia="Calibri" w:hAnsi="Times New Roman" w:cs="Times New Roman"/>
          <w:sz w:val="28"/>
          <w:szCs w:val="28"/>
        </w:rPr>
      </w:pPr>
      <w:r w:rsidRPr="009B1920">
        <w:rPr>
          <w:rFonts w:ascii="Times New Roman" w:eastAsia="Calibri" w:hAnsi="Times New Roman" w:cs="Times New Roman"/>
          <w:sz w:val="28"/>
          <w:szCs w:val="28"/>
        </w:rPr>
        <w:t>Открытие первых в Российской Федерации детских технопарков (</w:t>
      </w:r>
      <w:proofErr w:type="spellStart"/>
      <w:r w:rsidRPr="009B1920">
        <w:rPr>
          <w:rFonts w:ascii="Times New Roman" w:eastAsia="Calibri" w:hAnsi="Times New Roman" w:cs="Times New Roman"/>
          <w:sz w:val="28"/>
          <w:szCs w:val="28"/>
        </w:rPr>
        <w:t>кванториумов</w:t>
      </w:r>
      <w:proofErr w:type="spellEnd"/>
      <w:r w:rsidRPr="009B1920">
        <w:rPr>
          <w:rFonts w:ascii="Times New Roman" w:eastAsia="Calibri" w:hAnsi="Times New Roman" w:cs="Times New Roman"/>
          <w:sz w:val="28"/>
          <w:szCs w:val="28"/>
        </w:rPr>
        <w:t xml:space="preserve">) состоялось в городах Ханты-Мансийске и Нефтеюганске 28 ноября 2015 года при участии помощника Президента Российской Федерации </w:t>
      </w:r>
      <w:proofErr w:type="spellStart"/>
      <w:r w:rsidRPr="009B1920">
        <w:rPr>
          <w:rFonts w:ascii="Times New Roman" w:eastAsia="Calibri" w:hAnsi="Times New Roman" w:cs="Times New Roman"/>
          <w:sz w:val="28"/>
          <w:szCs w:val="28"/>
        </w:rPr>
        <w:t>А.Р.Белоусова</w:t>
      </w:r>
      <w:proofErr w:type="spellEnd"/>
      <w:r w:rsidRPr="009B1920">
        <w:rPr>
          <w:rFonts w:ascii="Times New Roman" w:eastAsia="Calibri" w:hAnsi="Times New Roman" w:cs="Times New Roman"/>
          <w:sz w:val="28"/>
          <w:szCs w:val="28"/>
        </w:rPr>
        <w:t xml:space="preserve">, руководителей ряда федеральных министерств. </w:t>
      </w:r>
    </w:p>
    <w:p w:rsidR="005B52CF" w:rsidRPr="009B1920" w:rsidRDefault="005B52CF" w:rsidP="005B52CF">
      <w:pPr>
        <w:spacing w:after="0" w:line="360" w:lineRule="auto"/>
        <w:ind w:firstLine="709"/>
        <w:jc w:val="both"/>
        <w:rPr>
          <w:rFonts w:ascii="Times New Roman" w:eastAsia="Calibri" w:hAnsi="Times New Roman" w:cs="Times New Roman"/>
          <w:sz w:val="28"/>
          <w:szCs w:val="28"/>
        </w:rPr>
      </w:pPr>
      <w:r w:rsidRPr="009B1920">
        <w:rPr>
          <w:rFonts w:ascii="Times New Roman" w:eastAsia="Calibri" w:hAnsi="Times New Roman" w:cs="Times New Roman"/>
          <w:sz w:val="28"/>
          <w:szCs w:val="28"/>
        </w:rPr>
        <w:t xml:space="preserve">Акцент в создаваемых ресурсных центрах сделан на развитие научно-технического направления, с использованием самых современных программных продуктов. </w:t>
      </w:r>
    </w:p>
    <w:p w:rsidR="005B52CF" w:rsidRDefault="005B52CF" w:rsidP="005B52CF">
      <w:pPr>
        <w:spacing w:after="0" w:line="360" w:lineRule="auto"/>
        <w:ind w:firstLine="709"/>
        <w:jc w:val="both"/>
        <w:rPr>
          <w:rFonts w:ascii="Times New Roman" w:eastAsia="Calibri" w:hAnsi="Times New Roman" w:cs="Times New Roman"/>
          <w:sz w:val="28"/>
          <w:szCs w:val="28"/>
        </w:rPr>
      </w:pPr>
      <w:r w:rsidRPr="009B1920">
        <w:rPr>
          <w:rFonts w:ascii="Times New Roman" w:eastAsia="Calibri" w:hAnsi="Times New Roman" w:cs="Times New Roman"/>
          <w:sz w:val="28"/>
          <w:szCs w:val="28"/>
        </w:rPr>
        <w:t xml:space="preserve">В составе </w:t>
      </w:r>
      <w:proofErr w:type="spellStart"/>
      <w:r w:rsidRPr="009B1920">
        <w:rPr>
          <w:rFonts w:ascii="Times New Roman" w:eastAsia="Calibri" w:hAnsi="Times New Roman" w:cs="Times New Roman"/>
          <w:sz w:val="28"/>
          <w:szCs w:val="28"/>
        </w:rPr>
        <w:t>кванториумов</w:t>
      </w:r>
      <w:proofErr w:type="spellEnd"/>
      <w:r w:rsidRPr="009B1920">
        <w:rPr>
          <w:rFonts w:ascii="Times New Roman" w:eastAsia="Calibri" w:hAnsi="Times New Roman" w:cs="Times New Roman"/>
          <w:sz w:val="28"/>
          <w:szCs w:val="28"/>
        </w:rPr>
        <w:t xml:space="preserve">: </w:t>
      </w:r>
      <w:proofErr w:type="spellStart"/>
      <w:r w:rsidRPr="009B1920">
        <w:rPr>
          <w:rFonts w:ascii="Times New Roman" w:eastAsia="Calibri" w:hAnsi="Times New Roman" w:cs="Times New Roman"/>
          <w:sz w:val="28"/>
          <w:szCs w:val="28"/>
        </w:rPr>
        <w:t>Нейроквантум</w:t>
      </w:r>
      <w:proofErr w:type="spellEnd"/>
      <w:r w:rsidRPr="009B1920">
        <w:rPr>
          <w:rFonts w:ascii="Times New Roman" w:eastAsia="Calibri" w:hAnsi="Times New Roman" w:cs="Times New Roman"/>
          <w:sz w:val="28"/>
          <w:szCs w:val="28"/>
        </w:rPr>
        <w:t xml:space="preserve">, </w:t>
      </w:r>
      <w:proofErr w:type="spellStart"/>
      <w:r w:rsidRPr="009B1920">
        <w:rPr>
          <w:rFonts w:ascii="Times New Roman" w:eastAsia="Calibri" w:hAnsi="Times New Roman" w:cs="Times New Roman"/>
          <w:sz w:val="28"/>
          <w:szCs w:val="28"/>
        </w:rPr>
        <w:t>Наноквантум</w:t>
      </w:r>
      <w:proofErr w:type="spellEnd"/>
      <w:r w:rsidRPr="009B1920">
        <w:rPr>
          <w:rFonts w:ascii="Times New Roman" w:eastAsia="Calibri" w:hAnsi="Times New Roman" w:cs="Times New Roman"/>
          <w:sz w:val="28"/>
          <w:szCs w:val="28"/>
        </w:rPr>
        <w:t xml:space="preserve">, </w:t>
      </w:r>
      <w:proofErr w:type="spellStart"/>
      <w:r w:rsidRPr="009B1920">
        <w:rPr>
          <w:rFonts w:ascii="Times New Roman" w:eastAsia="Calibri" w:hAnsi="Times New Roman" w:cs="Times New Roman"/>
          <w:sz w:val="28"/>
          <w:szCs w:val="28"/>
        </w:rPr>
        <w:t>Автоквантум</w:t>
      </w:r>
      <w:proofErr w:type="spellEnd"/>
      <w:r w:rsidRPr="009B1920">
        <w:rPr>
          <w:rFonts w:ascii="Times New Roman" w:eastAsia="Calibri" w:hAnsi="Times New Roman" w:cs="Times New Roman"/>
          <w:sz w:val="28"/>
          <w:szCs w:val="28"/>
        </w:rPr>
        <w:t xml:space="preserve">, </w:t>
      </w:r>
      <w:proofErr w:type="spellStart"/>
      <w:r w:rsidRPr="009B1920">
        <w:rPr>
          <w:rFonts w:ascii="Times New Roman" w:eastAsia="Calibri" w:hAnsi="Times New Roman" w:cs="Times New Roman"/>
          <w:sz w:val="28"/>
          <w:szCs w:val="28"/>
        </w:rPr>
        <w:t>Data-квантум</w:t>
      </w:r>
      <w:proofErr w:type="spellEnd"/>
      <w:r w:rsidRPr="009B1920">
        <w:rPr>
          <w:rFonts w:ascii="Times New Roman" w:eastAsia="Calibri" w:hAnsi="Times New Roman" w:cs="Times New Roman"/>
          <w:sz w:val="28"/>
          <w:szCs w:val="28"/>
        </w:rPr>
        <w:t xml:space="preserve">, </w:t>
      </w:r>
      <w:proofErr w:type="spellStart"/>
      <w:r w:rsidRPr="009B1920">
        <w:rPr>
          <w:rFonts w:ascii="Times New Roman" w:eastAsia="Calibri" w:hAnsi="Times New Roman" w:cs="Times New Roman"/>
          <w:sz w:val="28"/>
          <w:szCs w:val="28"/>
        </w:rPr>
        <w:t>Аэроквантум</w:t>
      </w:r>
      <w:proofErr w:type="spellEnd"/>
      <w:r w:rsidRPr="009B1920">
        <w:rPr>
          <w:rFonts w:ascii="Times New Roman" w:eastAsia="Calibri" w:hAnsi="Times New Roman" w:cs="Times New Roman"/>
          <w:sz w:val="28"/>
          <w:szCs w:val="28"/>
        </w:rPr>
        <w:t>, IT-</w:t>
      </w:r>
      <w:proofErr w:type="spellStart"/>
      <w:r w:rsidRPr="009B1920">
        <w:rPr>
          <w:rFonts w:ascii="Times New Roman" w:eastAsia="Calibri" w:hAnsi="Times New Roman" w:cs="Times New Roman"/>
          <w:sz w:val="28"/>
          <w:szCs w:val="28"/>
        </w:rPr>
        <w:t>квантум</w:t>
      </w:r>
      <w:proofErr w:type="spellEnd"/>
      <w:r w:rsidRPr="009B1920">
        <w:rPr>
          <w:rFonts w:ascii="Times New Roman" w:eastAsia="Calibri" w:hAnsi="Times New Roman" w:cs="Times New Roman"/>
          <w:sz w:val="28"/>
          <w:szCs w:val="28"/>
        </w:rPr>
        <w:t xml:space="preserve">, </w:t>
      </w:r>
      <w:proofErr w:type="spellStart"/>
      <w:r w:rsidRPr="009B1920">
        <w:rPr>
          <w:rFonts w:ascii="Times New Roman" w:eastAsia="Calibri" w:hAnsi="Times New Roman" w:cs="Times New Roman"/>
          <w:sz w:val="28"/>
          <w:szCs w:val="28"/>
        </w:rPr>
        <w:t>Робоквантум</w:t>
      </w:r>
      <w:proofErr w:type="spellEnd"/>
      <w:r w:rsidRPr="009B1920">
        <w:rPr>
          <w:rFonts w:ascii="Times New Roman" w:eastAsia="Calibri" w:hAnsi="Times New Roman" w:cs="Times New Roman"/>
          <w:sz w:val="28"/>
          <w:szCs w:val="28"/>
        </w:rPr>
        <w:t xml:space="preserve">, </w:t>
      </w:r>
      <w:proofErr w:type="spellStart"/>
      <w:r w:rsidRPr="009B1920">
        <w:rPr>
          <w:rFonts w:ascii="Times New Roman" w:eastAsia="Calibri" w:hAnsi="Times New Roman" w:cs="Times New Roman"/>
          <w:sz w:val="28"/>
          <w:szCs w:val="28"/>
        </w:rPr>
        <w:t>Космоквантум</w:t>
      </w:r>
      <w:proofErr w:type="spellEnd"/>
      <w:r w:rsidRPr="009B1920">
        <w:rPr>
          <w:rFonts w:ascii="Times New Roman" w:eastAsia="Calibri" w:hAnsi="Times New Roman" w:cs="Times New Roman"/>
          <w:sz w:val="28"/>
          <w:szCs w:val="28"/>
        </w:rPr>
        <w:t xml:space="preserve">, в 2015 году прошли обучение более 750 детей. </w:t>
      </w:r>
    </w:p>
    <w:p w:rsidR="00801570" w:rsidRPr="00BB5127" w:rsidRDefault="005B52CF" w:rsidP="00801570">
      <w:pPr>
        <w:spacing w:after="0" w:line="360" w:lineRule="auto"/>
        <w:ind w:firstLine="709"/>
        <w:jc w:val="both"/>
        <w:rPr>
          <w:rFonts w:ascii="Times New Roman" w:hAnsi="Times New Roman" w:cs="Times New Roman"/>
          <w:b/>
          <w:sz w:val="28"/>
          <w:szCs w:val="28"/>
        </w:rPr>
      </w:pPr>
      <w:r w:rsidRPr="00BB5127">
        <w:rPr>
          <w:rFonts w:ascii="Times New Roman" w:hAnsi="Times New Roman" w:cs="Times New Roman"/>
          <w:b/>
          <w:sz w:val="28"/>
          <w:szCs w:val="28"/>
        </w:rPr>
        <w:t>По п</w:t>
      </w:r>
      <w:r w:rsidR="00801570" w:rsidRPr="00BB5127">
        <w:rPr>
          <w:rFonts w:ascii="Times New Roman" w:hAnsi="Times New Roman" w:cs="Times New Roman"/>
          <w:b/>
          <w:sz w:val="28"/>
          <w:szCs w:val="28"/>
        </w:rPr>
        <w:t>одпрограмм</w:t>
      </w:r>
      <w:r w:rsidRPr="00BB5127">
        <w:rPr>
          <w:rFonts w:ascii="Times New Roman" w:hAnsi="Times New Roman" w:cs="Times New Roman"/>
          <w:b/>
          <w:sz w:val="28"/>
          <w:szCs w:val="28"/>
        </w:rPr>
        <w:t>е</w:t>
      </w:r>
      <w:r w:rsidR="00801570" w:rsidRPr="00BB5127">
        <w:rPr>
          <w:rFonts w:ascii="Times New Roman" w:hAnsi="Times New Roman" w:cs="Times New Roman"/>
          <w:b/>
          <w:sz w:val="28"/>
          <w:szCs w:val="28"/>
        </w:rPr>
        <w:t xml:space="preserve"> </w:t>
      </w:r>
      <w:r w:rsidR="003F5B9F" w:rsidRPr="00BB5127">
        <w:rPr>
          <w:rFonts w:ascii="Times New Roman" w:hAnsi="Times New Roman" w:cs="Times New Roman"/>
          <w:b/>
          <w:sz w:val="28"/>
          <w:szCs w:val="28"/>
          <w:lang w:val="en-US"/>
        </w:rPr>
        <w:t>VII</w:t>
      </w:r>
      <w:r w:rsidR="003F5B9F" w:rsidRPr="00BB5127">
        <w:rPr>
          <w:rFonts w:ascii="Times New Roman" w:hAnsi="Times New Roman" w:cs="Times New Roman"/>
          <w:b/>
          <w:sz w:val="28"/>
          <w:szCs w:val="28"/>
        </w:rPr>
        <w:t xml:space="preserve"> </w:t>
      </w:r>
      <w:r w:rsidR="00801570" w:rsidRPr="00BB5127">
        <w:rPr>
          <w:rFonts w:ascii="Times New Roman" w:hAnsi="Times New Roman" w:cs="Times New Roman"/>
          <w:b/>
          <w:sz w:val="28"/>
          <w:szCs w:val="28"/>
        </w:rPr>
        <w:t>«Развитие малого и среднего предпринимательства»</w:t>
      </w:r>
    </w:p>
    <w:p w:rsidR="00920DCC" w:rsidRPr="00920DCC" w:rsidRDefault="00920DCC" w:rsidP="00920DCC">
      <w:pPr>
        <w:widowControl w:val="0"/>
        <w:shd w:val="clear" w:color="auto" w:fill="FFFFFF"/>
        <w:spacing w:after="0" w:line="360" w:lineRule="auto"/>
        <w:ind w:firstLine="709"/>
        <w:jc w:val="both"/>
        <w:textAlignment w:val="baseline"/>
        <w:rPr>
          <w:rFonts w:ascii="Times New Roman" w:eastAsia="Times New Roman" w:hAnsi="Times New Roman" w:cs="Times New Roman"/>
          <w:sz w:val="28"/>
          <w:szCs w:val="28"/>
          <w:lang w:eastAsia="ru-RU"/>
        </w:rPr>
      </w:pPr>
      <w:r w:rsidRPr="00920DCC">
        <w:rPr>
          <w:rFonts w:ascii="Times New Roman" w:eastAsia="Times New Roman" w:hAnsi="Times New Roman" w:cs="Times New Roman"/>
          <w:sz w:val="28"/>
          <w:szCs w:val="28"/>
          <w:lang w:eastAsia="ru-RU"/>
        </w:rPr>
        <w:t xml:space="preserve">Целью государственной политики в области развития малого и среднего предпринимательства в автономном округе является создание максимально благоприятных условий для предпринимательской инициативы, повышения конкурентоспособности и инвестиционной </w:t>
      </w:r>
      <w:r w:rsidRPr="00920DCC">
        <w:rPr>
          <w:rFonts w:ascii="Times New Roman" w:eastAsia="Times New Roman" w:hAnsi="Times New Roman" w:cs="Times New Roman"/>
          <w:sz w:val="28"/>
          <w:szCs w:val="28"/>
          <w:lang w:eastAsia="ru-RU"/>
        </w:rPr>
        <w:lastRenderedPageBreak/>
        <w:t xml:space="preserve">привлекательности субъектов предпринимательства, расширение их способности к работе на открытых рынках в условиях жесткой конкуренции, что позволит в полной мере обеспечить жителей Югры необходимым спектром товаров, работ и услуг. </w:t>
      </w:r>
    </w:p>
    <w:p w:rsidR="00920DCC" w:rsidRPr="00920DCC" w:rsidRDefault="006E62CC" w:rsidP="00920DCC">
      <w:pPr>
        <w:widowControl w:val="0"/>
        <w:spacing w:after="0" w:line="360" w:lineRule="auto"/>
        <w:ind w:firstLine="709"/>
        <w:jc w:val="both"/>
        <w:rPr>
          <w:rFonts w:ascii="Times New Roman" w:eastAsia="Times New Roman" w:hAnsi="Times New Roman" w:cs="Times New Roman"/>
          <w:sz w:val="28"/>
          <w:szCs w:val="28"/>
          <w:lang w:eastAsia="ru-RU"/>
        </w:rPr>
      </w:pPr>
      <w:r w:rsidRPr="00920DCC">
        <w:rPr>
          <w:rFonts w:ascii="Times New Roman" w:eastAsia="Times New Roman" w:hAnsi="Times New Roman" w:cs="Times New Roman"/>
          <w:sz w:val="28"/>
          <w:szCs w:val="28"/>
          <w:lang w:eastAsia="ru-RU"/>
        </w:rPr>
        <w:t>В</w:t>
      </w:r>
      <w:r>
        <w:rPr>
          <w:rFonts w:ascii="Times New Roman" w:eastAsia="Times New Roman" w:hAnsi="Times New Roman" w:cs="Times New Roman"/>
          <w:sz w:val="28"/>
          <w:szCs w:val="28"/>
          <w:lang w:eastAsia="ru-RU"/>
        </w:rPr>
        <w:t xml:space="preserve"> </w:t>
      </w:r>
      <w:r w:rsidR="00920DCC" w:rsidRPr="00920DCC">
        <w:rPr>
          <w:rFonts w:ascii="Times New Roman" w:eastAsia="Times New Roman" w:hAnsi="Times New Roman" w:cs="Times New Roman"/>
          <w:sz w:val="28"/>
          <w:szCs w:val="28"/>
          <w:lang w:eastAsia="ru-RU"/>
        </w:rPr>
        <w:t>соответствии с основными направлениями государственной поддержки малого и среднего предпринимательства на ближайшую и среднесрочную перспективу в Российской Федерации, Правительством автономного принят План мероприятий по обеспечению устойчивого развития экономики и социальной стабильности в Югре на 2015 год и на период 2016 и 2017 годов. Основным разделом Плана стали вопросы поддержки малого и среднего предпринимательства в Югре.</w:t>
      </w:r>
    </w:p>
    <w:p w:rsidR="00920DCC" w:rsidRPr="00AB76F9" w:rsidRDefault="00920DCC" w:rsidP="00920DCC">
      <w:pPr>
        <w:widowControl w:val="0"/>
        <w:spacing w:after="0" w:line="360" w:lineRule="auto"/>
        <w:ind w:firstLine="709"/>
        <w:jc w:val="both"/>
        <w:rPr>
          <w:rFonts w:ascii="Times New Roman" w:eastAsia="Times New Roman" w:hAnsi="Times New Roman" w:cs="Times New Roman"/>
          <w:sz w:val="28"/>
          <w:szCs w:val="28"/>
          <w:lang w:eastAsia="ru-RU"/>
        </w:rPr>
      </w:pPr>
      <w:r w:rsidRPr="00AB76F9">
        <w:rPr>
          <w:rFonts w:ascii="Times New Roman" w:eastAsia="Times New Roman" w:hAnsi="Times New Roman" w:cs="Times New Roman"/>
          <w:sz w:val="28"/>
          <w:szCs w:val="28"/>
          <w:lang w:eastAsia="ru-RU"/>
        </w:rPr>
        <w:t>Для решения вопроса возможности кредитования малого бизнеса  в условиях ограниченности предоставления кредитов банковским сектором:</w:t>
      </w:r>
    </w:p>
    <w:p w:rsidR="00920DCC" w:rsidRPr="00920DCC" w:rsidRDefault="00AB76F9" w:rsidP="00937F0A">
      <w:pPr>
        <w:widowControl w:val="0"/>
        <w:spacing w:after="0" w:line="360" w:lineRule="auto"/>
        <w:ind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у</w:t>
      </w:r>
      <w:r w:rsidR="00920DCC" w:rsidRPr="00920DCC">
        <w:rPr>
          <w:rFonts w:ascii="Times New Roman" w:eastAsia="Calibri" w:hAnsi="Times New Roman" w:cs="Times New Roman"/>
          <w:sz w:val="28"/>
          <w:szCs w:val="28"/>
        </w:rPr>
        <w:t xml:space="preserve">становлены требования для Фонда «Югорская региональная </w:t>
      </w:r>
      <w:proofErr w:type="spellStart"/>
      <w:r w:rsidR="00920DCC" w:rsidRPr="00920DCC">
        <w:rPr>
          <w:rFonts w:ascii="Times New Roman" w:eastAsia="Calibri" w:hAnsi="Times New Roman" w:cs="Times New Roman"/>
          <w:sz w:val="28"/>
          <w:szCs w:val="28"/>
        </w:rPr>
        <w:t>микрофинансовая</w:t>
      </w:r>
      <w:proofErr w:type="spellEnd"/>
      <w:r w:rsidR="00920DCC" w:rsidRPr="00920DCC">
        <w:rPr>
          <w:rFonts w:ascii="Times New Roman" w:eastAsia="Calibri" w:hAnsi="Times New Roman" w:cs="Times New Roman"/>
          <w:sz w:val="28"/>
          <w:szCs w:val="28"/>
        </w:rPr>
        <w:t xml:space="preserve"> организация» по формированию обязательных резервов на возможные потери по </w:t>
      </w:r>
      <w:proofErr w:type="spellStart"/>
      <w:r w:rsidR="00920DCC" w:rsidRPr="00920DCC">
        <w:rPr>
          <w:rFonts w:ascii="Times New Roman" w:eastAsia="Calibri" w:hAnsi="Times New Roman" w:cs="Times New Roman"/>
          <w:sz w:val="28"/>
          <w:szCs w:val="28"/>
        </w:rPr>
        <w:t>микрозаймам</w:t>
      </w:r>
      <w:proofErr w:type="spellEnd"/>
      <w:r w:rsidR="00920DCC" w:rsidRPr="00920DCC">
        <w:rPr>
          <w:rFonts w:ascii="Times New Roman" w:eastAsia="Calibri" w:hAnsi="Times New Roman" w:cs="Times New Roman"/>
          <w:sz w:val="28"/>
          <w:szCs w:val="28"/>
        </w:rPr>
        <w:t xml:space="preserve"> (займам), что ведёт к повышению доступности микрозаймов Фонда за счёт сохранения или снижения процентной ставки;</w:t>
      </w:r>
    </w:p>
    <w:p w:rsidR="00920DCC" w:rsidRPr="00920DCC" w:rsidRDefault="00AB76F9" w:rsidP="00937F0A">
      <w:pPr>
        <w:widowControl w:val="0"/>
        <w:spacing w:after="0" w:line="360" w:lineRule="auto"/>
        <w:ind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з</w:t>
      </w:r>
      <w:r w:rsidR="00920DCC" w:rsidRPr="00920DCC">
        <w:rPr>
          <w:rFonts w:ascii="Times New Roman" w:eastAsia="Calibri" w:hAnsi="Times New Roman" w:cs="Times New Roman"/>
          <w:sz w:val="28"/>
          <w:szCs w:val="28"/>
        </w:rPr>
        <w:t xml:space="preserve">афиксированы процентные ставки по </w:t>
      </w:r>
      <w:proofErr w:type="spellStart"/>
      <w:r w:rsidR="00920DCC" w:rsidRPr="00920DCC">
        <w:rPr>
          <w:rFonts w:ascii="Times New Roman" w:eastAsia="Calibri" w:hAnsi="Times New Roman" w:cs="Times New Roman"/>
          <w:sz w:val="28"/>
          <w:szCs w:val="28"/>
        </w:rPr>
        <w:t>микрозаймам</w:t>
      </w:r>
      <w:proofErr w:type="spellEnd"/>
      <w:r w:rsidR="00920DCC" w:rsidRPr="00920DCC">
        <w:rPr>
          <w:rFonts w:ascii="Times New Roman" w:eastAsia="Calibri" w:hAnsi="Times New Roman" w:cs="Times New Roman"/>
          <w:sz w:val="28"/>
          <w:szCs w:val="28"/>
        </w:rPr>
        <w:t xml:space="preserve"> Фонда микрофинансирования на срок до 31 декабря 2016 года (от 10 до 14 % </w:t>
      </w:r>
      <w:proofErr w:type="gramStart"/>
      <w:r w:rsidR="00920DCC" w:rsidRPr="00920DCC">
        <w:rPr>
          <w:rFonts w:ascii="Times New Roman" w:eastAsia="Calibri" w:hAnsi="Times New Roman" w:cs="Times New Roman"/>
          <w:sz w:val="28"/>
          <w:szCs w:val="28"/>
        </w:rPr>
        <w:t>годовых</w:t>
      </w:r>
      <w:proofErr w:type="gramEnd"/>
      <w:r w:rsidR="00920DCC" w:rsidRPr="00920DCC">
        <w:rPr>
          <w:rFonts w:ascii="Times New Roman" w:eastAsia="Calibri" w:hAnsi="Times New Roman" w:cs="Times New Roman"/>
          <w:sz w:val="28"/>
          <w:szCs w:val="28"/>
        </w:rPr>
        <w:t>);</w:t>
      </w:r>
    </w:p>
    <w:p w:rsidR="00920DCC" w:rsidRPr="00920DCC" w:rsidRDefault="00AB76F9" w:rsidP="00937F0A">
      <w:pPr>
        <w:widowControl w:val="0"/>
        <w:autoSpaceDE w:val="0"/>
        <w:autoSpaceDN w:val="0"/>
        <w:spacing w:after="0" w:line="360" w:lineRule="auto"/>
        <w:ind w:firstLine="709"/>
        <w:contextualSpacing/>
        <w:jc w:val="both"/>
        <w:rPr>
          <w:rFonts w:ascii="Times New Roman" w:eastAsia="Calibri" w:hAnsi="Times New Roman" w:cs="Times New Roman"/>
          <w:sz w:val="28"/>
          <w:szCs w:val="28"/>
        </w:rPr>
      </w:pPr>
      <w:r>
        <w:rPr>
          <w:rFonts w:ascii="Times New Roman" w:eastAsia="Calibri" w:hAnsi="Times New Roman" w:cs="Times New Roman"/>
          <w:color w:val="000000"/>
          <w:sz w:val="28"/>
          <w:szCs w:val="28"/>
        </w:rPr>
        <w:t>п</w:t>
      </w:r>
      <w:r w:rsidR="00920DCC" w:rsidRPr="00920DCC">
        <w:rPr>
          <w:rFonts w:ascii="Times New Roman" w:eastAsia="Calibri" w:hAnsi="Times New Roman" w:cs="Times New Roman"/>
          <w:color w:val="000000"/>
          <w:sz w:val="28"/>
          <w:szCs w:val="28"/>
        </w:rPr>
        <w:t>редусмотрено</w:t>
      </w:r>
      <w:r w:rsidR="00920DCC" w:rsidRPr="00920DCC">
        <w:rPr>
          <w:rFonts w:ascii="Times New Roman" w:eastAsia="Calibri" w:hAnsi="Times New Roman" w:cs="Times New Roman"/>
          <w:sz w:val="28"/>
          <w:szCs w:val="28"/>
        </w:rPr>
        <w:t xml:space="preserve"> предоставление микрозаймов для рефинансирования банковских кредитов субъектов малого и среднего предпринимательства;</w:t>
      </w:r>
    </w:p>
    <w:p w:rsidR="00920DCC" w:rsidRPr="00920DCC" w:rsidRDefault="00AB76F9" w:rsidP="00937F0A">
      <w:pPr>
        <w:widowControl w:val="0"/>
        <w:autoSpaceDE w:val="0"/>
        <w:autoSpaceDN w:val="0"/>
        <w:adjustRightInd w:val="0"/>
        <w:spacing w:after="0" w:line="360" w:lineRule="auto"/>
        <w:ind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у</w:t>
      </w:r>
      <w:r w:rsidR="00920DCC" w:rsidRPr="00920DCC">
        <w:rPr>
          <w:rFonts w:ascii="Times New Roman" w:eastAsia="Calibri" w:hAnsi="Times New Roman" w:cs="Times New Roman"/>
          <w:sz w:val="28"/>
          <w:szCs w:val="28"/>
        </w:rPr>
        <w:t>величен объем поручительства Фонда поддержки предпринимательства Югры по всем обязательствам субъектов малого и среднего предпринимательства с 50% до 70% от общей суммы обязательств;</w:t>
      </w:r>
    </w:p>
    <w:p w:rsidR="00920DCC" w:rsidRPr="00920DCC" w:rsidRDefault="00AB76F9" w:rsidP="00937F0A">
      <w:pPr>
        <w:widowControl w:val="0"/>
        <w:autoSpaceDE w:val="0"/>
        <w:autoSpaceDN w:val="0"/>
        <w:adjustRightInd w:val="0"/>
        <w:spacing w:after="0" w:line="360" w:lineRule="auto"/>
        <w:ind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п</w:t>
      </w:r>
      <w:r w:rsidR="00920DCC" w:rsidRPr="00920DCC">
        <w:rPr>
          <w:rFonts w:ascii="Times New Roman" w:eastAsia="Calibri" w:hAnsi="Times New Roman" w:cs="Times New Roman"/>
          <w:sz w:val="28"/>
          <w:szCs w:val="28"/>
        </w:rPr>
        <w:t xml:space="preserve">редусмотрено предоставление поручительств по договорам банковской гарантии, при реструктуризации текущей кредитной </w:t>
      </w:r>
      <w:r w:rsidR="00920DCC" w:rsidRPr="00920DCC">
        <w:rPr>
          <w:rFonts w:ascii="Times New Roman" w:eastAsia="Calibri" w:hAnsi="Times New Roman" w:cs="Times New Roman"/>
          <w:sz w:val="28"/>
          <w:szCs w:val="28"/>
        </w:rPr>
        <w:lastRenderedPageBreak/>
        <w:t>задолженности, что ведет к повышению доступности субъектов предпринимательства к кредитным ресурсам банков;</w:t>
      </w:r>
    </w:p>
    <w:p w:rsidR="00920DCC" w:rsidRPr="00920DCC" w:rsidRDefault="00AB76F9" w:rsidP="00937F0A">
      <w:pPr>
        <w:widowControl w:val="0"/>
        <w:spacing w:after="0" w:line="360" w:lineRule="auto"/>
        <w:ind w:firstLine="709"/>
        <w:contextualSpacing/>
        <w:jc w:val="both"/>
        <w:rPr>
          <w:rFonts w:ascii="Times New Roman" w:eastAsia="Calibri" w:hAnsi="Times New Roman" w:cs="Times New Roman"/>
          <w:sz w:val="28"/>
          <w:szCs w:val="28"/>
        </w:rPr>
      </w:pPr>
      <w:r>
        <w:rPr>
          <w:rFonts w:ascii="Times New Roman" w:eastAsia="Times New Roman" w:hAnsi="Times New Roman" w:cs="Times New Roman"/>
          <w:sz w:val="28"/>
          <w:szCs w:val="28"/>
          <w:lang w:eastAsia="ru-RU"/>
        </w:rPr>
        <w:t>у</w:t>
      </w:r>
      <w:r w:rsidR="00920DCC" w:rsidRPr="00920DCC">
        <w:rPr>
          <w:rFonts w:ascii="Times New Roman" w:eastAsia="Times New Roman" w:hAnsi="Times New Roman" w:cs="Times New Roman"/>
          <w:sz w:val="28"/>
          <w:szCs w:val="28"/>
          <w:lang w:eastAsia="ru-RU"/>
        </w:rPr>
        <w:t xml:space="preserve">величен размер </w:t>
      </w:r>
      <w:r w:rsidR="00920DCC" w:rsidRPr="00920DCC">
        <w:rPr>
          <w:rFonts w:ascii="Times New Roman" w:eastAsia="Calibri" w:hAnsi="Times New Roman" w:cs="Times New Roman"/>
          <w:sz w:val="28"/>
          <w:szCs w:val="28"/>
        </w:rPr>
        <w:t>компенсации части затрат по уплате процентов за пользование банковскими кредитами, в связи с расчётом размера компенсации от ключевой ставки Центрального Банка России по договорам, заключенным не ранее 1 января 2016 года.</w:t>
      </w:r>
    </w:p>
    <w:p w:rsidR="00920DCC" w:rsidRPr="00AB76F9" w:rsidRDefault="00920DCC" w:rsidP="00920DCC">
      <w:pPr>
        <w:spacing w:after="0" w:line="360" w:lineRule="auto"/>
        <w:ind w:firstLine="709"/>
        <w:contextualSpacing/>
        <w:jc w:val="both"/>
        <w:rPr>
          <w:rFonts w:ascii="Times New Roman" w:eastAsia="Calibri" w:hAnsi="Times New Roman" w:cs="Times New Roman"/>
          <w:sz w:val="28"/>
          <w:szCs w:val="28"/>
        </w:rPr>
      </w:pPr>
      <w:r w:rsidRPr="00AB76F9">
        <w:rPr>
          <w:rFonts w:ascii="Times New Roman" w:eastAsia="Calibri" w:hAnsi="Times New Roman" w:cs="Times New Roman"/>
          <w:sz w:val="28"/>
          <w:szCs w:val="28"/>
        </w:rPr>
        <w:t>В целях снижениях снижения налоговой нагрузки на малый бизнес, в том числе для начинающих предпринимателей:</w:t>
      </w:r>
    </w:p>
    <w:p w:rsidR="00920DCC" w:rsidRPr="00937F0A" w:rsidRDefault="00AB76F9" w:rsidP="00937F0A">
      <w:pPr>
        <w:widowControl w:val="0"/>
        <w:spacing w:after="0" w:line="36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w:t>
      </w:r>
      <w:r w:rsidR="00920DCC" w:rsidRPr="00937F0A">
        <w:rPr>
          <w:rFonts w:ascii="Times New Roman" w:eastAsia="Times New Roman" w:hAnsi="Times New Roman" w:cs="Times New Roman"/>
          <w:sz w:val="28"/>
          <w:szCs w:val="28"/>
          <w:lang w:eastAsia="ru-RU"/>
        </w:rPr>
        <w:t>становлены «налоговые каникулы» для впервые зарегистрированных индивидуальных предпринимателей сроком на 2 года по отдельным видам деятельности, применяющих упрощенную и патентную системы налогообложения;</w:t>
      </w:r>
    </w:p>
    <w:p w:rsidR="006E62CC" w:rsidRDefault="00AB76F9" w:rsidP="00937F0A">
      <w:pPr>
        <w:widowControl w:val="0"/>
        <w:spacing w:after="0" w:line="36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w:t>
      </w:r>
      <w:r w:rsidR="00920DCC" w:rsidRPr="00937F0A">
        <w:rPr>
          <w:rFonts w:ascii="Times New Roman" w:eastAsia="Times New Roman" w:hAnsi="Times New Roman" w:cs="Times New Roman"/>
          <w:sz w:val="28"/>
          <w:szCs w:val="28"/>
          <w:lang w:eastAsia="ru-RU"/>
        </w:rPr>
        <w:t>нижены ставки налога для налогоплательщиков, применяющих упрощенную систему налогообложения с объектом налогообложения «д</w:t>
      </w:r>
      <w:r w:rsidR="006E62CC">
        <w:rPr>
          <w:rFonts w:ascii="Times New Roman" w:eastAsia="Times New Roman" w:hAnsi="Times New Roman" w:cs="Times New Roman"/>
          <w:sz w:val="28"/>
          <w:szCs w:val="28"/>
          <w:lang w:eastAsia="ru-RU"/>
        </w:rPr>
        <w:t>оходы – расходы» (с 15 до 5 %);</w:t>
      </w:r>
    </w:p>
    <w:p w:rsidR="00920DCC" w:rsidRPr="00937F0A" w:rsidRDefault="00920DCC" w:rsidP="00937F0A">
      <w:pPr>
        <w:widowControl w:val="0"/>
        <w:spacing w:after="0" w:line="360" w:lineRule="auto"/>
        <w:ind w:firstLine="709"/>
        <w:contextualSpacing/>
        <w:jc w:val="both"/>
        <w:rPr>
          <w:rFonts w:ascii="Times New Roman" w:eastAsia="Times New Roman" w:hAnsi="Times New Roman" w:cs="Times New Roman"/>
          <w:sz w:val="28"/>
          <w:szCs w:val="28"/>
          <w:lang w:eastAsia="ru-RU"/>
        </w:rPr>
      </w:pPr>
      <w:r w:rsidRPr="00937F0A">
        <w:rPr>
          <w:rFonts w:ascii="Times New Roman" w:eastAsia="Times New Roman" w:hAnsi="Times New Roman" w:cs="Times New Roman"/>
          <w:sz w:val="28"/>
          <w:szCs w:val="28"/>
          <w:lang w:eastAsia="ru-RU"/>
        </w:rPr>
        <w:t>для налогоплательщиков, применяющих упрощенную систему налогообложения с объектом налогообложения «доходы» (с 6,0 до 5,0 %) для отдельных видов деятельности (18 видов, например такие популярные как животноводство, здравоохранение, досуг);</w:t>
      </w:r>
    </w:p>
    <w:p w:rsidR="00920DCC" w:rsidRPr="00937F0A" w:rsidRDefault="00AB76F9" w:rsidP="00937F0A">
      <w:pPr>
        <w:widowControl w:val="0"/>
        <w:spacing w:after="0" w:line="36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w:t>
      </w:r>
      <w:r w:rsidR="00920DCC" w:rsidRPr="00937F0A">
        <w:rPr>
          <w:rFonts w:ascii="Times New Roman" w:eastAsia="Times New Roman" w:hAnsi="Times New Roman" w:cs="Times New Roman"/>
          <w:sz w:val="28"/>
          <w:szCs w:val="28"/>
          <w:lang w:eastAsia="ru-RU"/>
        </w:rPr>
        <w:t>становлен пониженный коэффициент для предпринимателей, применяющих патентную систему налогообложения в муниципальных районах;</w:t>
      </w:r>
    </w:p>
    <w:p w:rsidR="00920DCC" w:rsidRPr="00937F0A" w:rsidRDefault="00AB76F9" w:rsidP="00937F0A">
      <w:pPr>
        <w:widowControl w:val="0"/>
        <w:spacing w:after="0" w:line="36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w:t>
      </w:r>
      <w:r w:rsidR="00920DCC" w:rsidRPr="00937F0A">
        <w:rPr>
          <w:rFonts w:ascii="Times New Roman" w:eastAsia="Times New Roman" w:hAnsi="Times New Roman" w:cs="Times New Roman"/>
          <w:sz w:val="28"/>
          <w:szCs w:val="28"/>
          <w:lang w:eastAsia="ru-RU"/>
        </w:rPr>
        <w:t>асширен перечень с 41 до 56 видов деятельности, осуществляемых индивидуальными предпринимателями, применяющими патентную систему налогообложения, что ведет к упрощению деятельности и снижению административных барьеров.</w:t>
      </w:r>
    </w:p>
    <w:p w:rsidR="00920DCC" w:rsidRPr="00AB76F9" w:rsidRDefault="00920DCC" w:rsidP="00920DCC">
      <w:pPr>
        <w:spacing w:after="0" w:line="360" w:lineRule="auto"/>
        <w:ind w:firstLine="709"/>
        <w:contextualSpacing/>
        <w:jc w:val="both"/>
        <w:rPr>
          <w:rFonts w:ascii="Times New Roman" w:eastAsia="Calibri" w:hAnsi="Times New Roman" w:cs="Times New Roman"/>
          <w:sz w:val="28"/>
          <w:szCs w:val="28"/>
        </w:rPr>
      </w:pPr>
      <w:r w:rsidRPr="00AB76F9">
        <w:rPr>
          <w:rFonts w:ascii="Times New Roman" w:eastAsia="Calibri" w:hAnsi="Times New Roman" w:cs="Times New Roman"/>
          <w:sz w:val="28"/>
          <w:szCs w:val="28"/>
        </w:rPr>
        <w:t>Для укрепления имущественной основы для ведения предпринимательской деятельности:</w:t>
      </w:r>
    </w:p>
    <w:p w:rsidR="00920DCC" w:rsidRPr="00937F0A" w:rsidRDefault="00AB76F9" w:rsidP="00937F0A">
      <w:pPr>
        <w:widowControl w:val="0"/>
        <w:spacing w:after="0" w:line="36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w:t>
      </w:r>
      <w:r w:rsidR="00920DCC" w:rsidRPr="00937F0A">
        <w:rPr>
          <w:rFonts w:ascii="Times New Roman" w:eastAsia="Times New Roman" w:hAnsi="Times New Roman" w:cs="Times New Roman"/>
          <w:sz w:val="28"/>
          <w:szCs w:val="28"/>
          <w:lang w:eastAsia="ru-RU"/>
        </w:rPr>
        <w:t xml:space="preserve">нижена плата за аренду имущества, находящегося в </w:t>
      </w:r>
      <w:r w:rsidR="00920DCC" w:rsidRPr="00937F0A">
        <w:rPr>
          <w:rFonts w:ascii="Times New Roman" w:eastAsia="Times New Roman" w:hAnsi="Times New Roman" w:cs="Times New Roman"/>
          <w:sz w:val="28"/>
          <w:szCs w:val="28"/>
          <w:lang w:eastAsia="ru-RU"/>
        </w:rPr>
        <w:lastRenderedPageBreak/>
        <w:t>государственной собственности (коэффициент приоритета 0,5 (ранее применялся 0,7) для субъектов предпринимательства, социально ориентированных некоммерческих организаций, и коэффициент приоритета 0,1 для субъектов предпринимательства, осуществляющих социально значимые виды деятельности, организаций, осуществляющих деятельность по бизнес-</w:t>
      </w:r>
      <w:proofErr w:type="spellStart"/>
      <w:r w:rsidR="00920DCC" w:rsidRPr="00937F0A">
        <w:rPr>
          <w:rFonts w:ascii="Times New Roman" w:eastAsia="Times New Roman" w:hAnsi="Times New Roman" w:cs="Times New Roman"/>
          <w:sz w:val="28"/>
          <w:szCs w:val="28"/>
          <w:lang w:eastAsia="ru-RU"/>
        </w:rPr>
        <w:t>инкубированию</w:t>
      </w:r>
      <w:proofErr w:type="spellEnd"/>
      <w:r w:rsidR="00920DCC" w:rsidRPr="00937F0A">
        <w:rPr>
          <w:rFonts w:ascii="Times New Roman" w:eastAsia="Times New Roman" w:hAnsi="Times New Roman" w:cs="Times New Roman"/>
          <w:sz w:val="28"/>
          <w:szCs w:val="28"/>
          <w:lang w:eastAsia="ru-RU"/>
        </w:rPr>
        <w:t>);</w:t>
      </w:r>
    </w:p>
    <w:p w:rsidR="00920DCC" w:rsidRPr="00937F0A" w:rsidRDefault="00AB76F9" w:rsidP="00937F0A">
      <w:pPr>
        <w:widowControl w:val="0"/>
        <w:spacing w:after="0" w:line="36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w:t>
      </w:r>
      <w:r w:rsidR="00920DCC" w:rsidRPr="00937F0A">
        <w:rPr>
          <w:rFonts w:ascii="Times New Roman" w:eastAsia="Times New Roman" w:hAnsi="Times New Roman" w:cs="Times New Roman"/>
          <w:sz w:val="28"/>
          <w:szCs w:val="28"/>
          <w:lang w:eastAsia="ru-RU"/>
        </w:rPr>
        <w:t>нижен размер арендной платы за земельные участки для субъектов социального предпринимательства путем применения коэффициента в размере 0,5.</w:t>
      </w:r>
    </w:p>
    <w:p w:rsidR="00920DCC" w:rsidRPr="00937F0A" w:rsidRDefault="00920DCC" w:rsidP="00937F0A">
      <w:pPr>
        <w:widowControl w:val="0"/>
        <w:spacing w:after="0" w:line="360" w:lineRule="auto"/>
        <w:ind w:firstLine="709"/>
        <w:contextualSpacing/>
        <w:jc w:val="both"/>
        <w:rPr>
          <w:rFonts w:ascii="Times New Roman" w:eastAsia="Times New Roman" w:hAnsi="Times New Roman" w:cs="Times New Roman"/>
          <w:sz w:val="28"/>
          <w:szCs w:val="28"/>
          <w:lang w:eastAsia="ru-RU"/>
        </w:rPr>
      </w:pPr>
      <w:r w:rsidRPr="00937F0A">
        <w:rPr>
          <w:rFonts w:ascii="Times New Roman" w:eastAsia="Times New Roman" w:hAnsi="Times New Roman" w:cs="Times New Roman"/>
          <w:sz w:val="28"/>
          <w:szCs w:val="28"/>
          <w:lang w:eastAsia="ru-RU"/>
        </w:rPr>
        <w:t>Для обеспечения доступа малого бизнеса к государственным и муниципальным закупкам</w:t>
      </w:r>
      <w:r w:rsidR="00AB76F9">
        <w:rPr>
          <w:rFonts w:ascii="Times New Roman" w:eastAsia="Times New Roman" w:hAnsi="Times New Roman" w:cs="Times New Roman"/>
          <w:sz w:val="28"/>
          <w:szCs w:val="28"/>
          <w:lang w:eastAsia="ru-RU"/>
        </w:rPr>
        <w:t>:</w:t>
      </w:r>
    </w:p>
    <w:p w:rsidR="00920DCC" w:rsidRPr="00937F0A" w:rsidRDefault="00AB76F9" w:rsidP="00937F0A">
      <w:pPr>
        <w:widowControl w:val="0"/>
        <w:spacing w:after="0" w:line="36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w:t>
      </w:r>
      <w:r w:rsidR="00920DCC" w:rsidRPr="00937F0A">
        <w:rPr>
          <w:rFonts w:ascii="Times New Roman" w:eastAsia="Times New Roman" w:hAnsi="Times New Roman" w:cs="Times New Roman"/>
          <w:sz w:val="28"/>
          <w:szCs w:val="28"/>
          <w:lang w:eastAsia="ru-RU"/>
        </w:rPr>
        <w:t xml:space="preserve">величена доля закупок у малого бизнеса от общего годового объема закупок для государственных нужд до 35 процентов, а для нужд организаций с </w:t>
      </w:r>
      <w:proofErr w:type="spellStart"/>
      <w:r w:rsidR="00920DCC" w:rsidRPr="00937F0A">
        <w:rPr>
          <w:rFonts w:ascii="Times New Roman" w:eastAsia="Times New Roman" w:hAnsi="Times New Roman" w:cs="Times New Roman"/>
          <w:sz w:val="28"/>
          <w:szCs w:val="28"/>
          <w:lang w:eastAsia="ru-RU"/>
        </w:rPr>
        <w:t>госучастием</w:t>
      </w:r>
      <w:proofErr w:type="spellEnd"/>
      <w:r w:rsidR="00920DCC" w:rsidRPr="00937F0A">
        <w:rPr>
          <w:rFonts w:ascii="Times New Roman" w:eastAsia="Times New Roman" w:hAnsi="Times New Roman" w:cs="Times New Roman"/>
          <w:sz w:val="28"/>
          <w:szCs w:val="28"/>
          <w:lang w:eastAsia="ru-RU"/>
        </w:rPr>
        <w:t xml:space="preserve"> до 25 процентов в 2017 году.</w:t>
      </w:r>
    </w:p>
    <w:p w:rsidR="00920DCC" w:rsidRPr="00920DCC" w:rsidRDefault="00920DCC" w:rsidP="00920DCC">
      <w:pPr>
        <w:spacing w:after="0" w:line="360" w:lineRule="auto"/>
        <w:ind w:firstLine="705"/>
        <w:contextualSpacing/>
        <w:jc w:val="both"/>
        <w:rPr>
          <w:rFonts w:ascii="Times New Roman" w:eastAsia="Calibri" w:hAnsi="Times New Roman" w:cs="Times New Roman"/>
          <w:sz w:val="28"/>
          <w:szCs w:val="28"/>
        </w:rPr>
      </w:pPr>
      <w:r w:rsidRPr="00920DCC">
        <w:rPr>
          <w:rFonts w:ascii="Times New Roman" w:eastAsia="Calibri" w:hAnsi="Times New Roman" w:cs="Times New Roman"/>
          <w:sz w:val="28"/>
          <w:szCs w:val="28"/>
        </w:rPr>
        <w:t>В 2016 году с</w:t>
      </w:r>
      <w:r w:rsidRPr="00920DCC">
        <w:rPr>
          <w:rFonts w:ascii="Times New Roman" w:eastAsia="Times New Roman" w:hAnsi="Times New Roman" w:cs="Times New Roman"/>
          <w:sz w:val="28"/>
          <w:szCs w:val="28"/>
          <w:lang w:eastAsia="ru-RU"/>
        </w:rPr>
        <w:t xml:space="preserve">формирован продукт региональной гарантийной организации по предоставлению поручительств субъектам малого и среднего предпринимательства по </w:t>
      </w:r>
      <w:proofErr w:type="spellStart"/>
      <w:r w:rsidRPr="00920DCC">
        <w:rPr>
          <w:rFonts w:ascii="Times New Roman" w:eastAsia="Times New Roman" w:hAnsi="Times New Roman" w:cs="Times New Roman"/>
          <w:sz w:val="28"/>
          <w:szCs w:val="28"/>
          <w:lang w:eastAsia="ru-RU"/>
        </w:rPr>
        <w:t>микрозаймам</w:t>
      </w:r>
      <w:proofErr w:type="spellEnd"/>
      <w:r w:rsidRPr="00920DCC">
        <w:rPr>
          <w:rFonts w:ascii="Times New Roman" w:eastAsia="Times New Roman" w:hAnsi="Times New Roman" w:cs="Times New Roman"/>
          <w:sz w:val="28"/>
          <w:szCs w:val="28"/>
          <w:lang w:eastAsia="ru-RU"/>
        </w:rPr>
        <w:t xml:space="preserve"> свыше 1 млн. рублей перед Фондом «Югорская региональная </w:t>
      </w:r>
      <w:proofErr w:type="spellStart"/>
      <w:r w:rsidRPr="00920DCC">
        <w:rPr>
          <w:rFonts w:ascii="Times New Roman" w:eastAsia="Times New Roman" w:hAnsi="Times New Roman" w:cs="Times New Roman"/>
          <w:sz w:val="28"/>
          <w:szCs w:val="28"/>
          <w:lang w:eastAsia="ru-RU"/>
        </w:rPr>
        <w:t>микрофинансовая</w:t>
      </w:r>
      <w:proofErr w:type="spellEnd"/>
      <w:r w:rsidRPr="00920DCC">
        <w:rPr>
          <w:rFonts w:ascii="Times New Roman" w:eastAsia="Times New Roman" w:hAnsi="Times New Roman" w:cs="Times New Roman"/>
          <w:sz w:val="28"/>
          <w:szCs w:val="28"/>
          <w:lang w:eastAsia="ru-RU"/>
        </w:rPr>
        <w:t xml:space="preserve"> организация».</w:t>
      </w:r>
    </w:p>
    <w:p w:rsidR="00920DCC" w:rsidRPr="00920DCC" w:rsidRDefault="00920DCC" w:rsidP="00920DCC">
      <w:pPr>
        <w:widowControl w:val="0"/>
        <w:spacing w:after="0" w:line="360" w:lineRule="auto"/>
        <w:ind w:firstLine="705"/>
        <w:contextualSpacing/>
        <w:jc w:val="both"/>
        <w:rPr>
          <w:rFonts w:ascii="Times New Roman" w:eastAsia="Calibri" w:hAnsi="Times New Roman" w:cs="Times New Roman"/>
          <w:sz w:val="28"/>
          <w:szCs w:val="28"/>
        </w:rPr>
      </w:pPr>
      <w:r w:rsidRPr="00920DCC">
        <w:rPr>
          <w:rFonts w:ascii="Times New Roman" w:eastAsia="Calibri" w:hAnsi="Times New Roman" w:cs="Times New Roman"/>
          <w:iCs/>
          <w:sz w:val="28"/>
          <w:szCs w:val="28"/>
        </w:rPr>
        <w:t>Одним из государственных инструментов создания благоприятных условий для развития предпринимательских инициатив является федеральная и региональная финансовая программы поддержки малого и среднего предпринимательства, реализуемая Минэкономразвития России и Правительством автономного округа.</w:t>
      </w:r>
    </w:p>
    <w:p w:rsidR="00920DCC" w:rsidRPr="00920DCC" w:rsidRDefault="00920DCC" w:rsidP="00920DCC">
      <w:pPr>
        <w:widowControl w:val="0"/>
        <w:spacing w:after="0" w:line="360" w:lineRule="auto"/>
        <w:ind w:firstLine="705"/>
        <w:contextualSpacing/>
        <w:jc w:val="both"/>
        <w:rPr>
          <w:rFonts w:ascii="Times New Roman" w:eastAsia="Calibri" w:hAnsi="Times New Roman" w:cs="Times New Roman"/>
          <w:sz w:val="28"/>
          <w:szCs w:val="28"/>
        </w:rPr>
      </w:pPr>
      <w:r w:rsidRPr="00920DCC">
        <w:rPr>
          <w:rFonts w:ascii="Times New Roman" w:eastAsia="Calibri" w:hAnsi="Times New Roman" w:cs="Times New Roman"/>
          <w:iCs/>
          <w:sz w:val="28"/>
          <w:szCs w:val="28"/>
        </w:rPr>
        <w:t xml:space="preserve">В </w:t>
      </w:r>
      <w:r w:rsidR="00AB76F9">
        <w:rPr>
          <w:rFonts w:ascii="Times New Roman" w:eastAsia="Calibri" w:hAnsi="Times New Roman" w:cs="Times New Roman"/>
          <w:iCs/>
          <w:sz w:val="28"/>
          <w:szCs w:val="28"/>
        </w:rPr>
        <w:t>Программе</w:t>
      </w:r>
      <w:r w:rsidRPr="00920DCC">
        <w:rPr>
          <w:rFonts w:ascii="Times New Roman" w:eastAsia="Calibri" w:hAnsi="Times New Roman" w:cs="Times New Roman"/>
          <w:iCs/>
          <w:sz w:val="28"/>
          <w:szCs w:val="28"/>
        </w:rPr>
        <w:t xml:space="preserve"> предусмотрен комплекс мер, включающий более 10 инструментов и более 40 мероприятий, направленных на удовлетворение потребностей в финансовых, имущественных, информационных ресурсах субъектов предпринимательской деятельности, включая поддержку модернизации производства, создание и развитие объектов инфраструктуры, реализующих свою деятельность в области инноваций и </w:t>
      </w:r>
      <w:r w:rsidRPr="00920DCC">
        <w:rPr>
          <w:rFonts w:ascii="Times New Roman" w:eastAsia="Calibri" w:hAnsi="Times New Roman" w:cs="Times New Roman"/>
          <w:iCs/>
          <w:sz w:val="28"/>
          <w:szCs w:val="28"/>
        </w:rPr>
        <w:lastRenderedPageBreak/>
        <w:t>производства, поддержку социального предпринимательства.</w:t>
      </w:r>
    </w:p>
    <w:p w:rsidR="00920DCC" w:rsidRPr="00920DCC" w:rsidRDefault="00920DCC" w:rsidP="00920DCC">
      <w:pPr>
        <w:widowControl w:val="0"/>
        <w:spacing w:after="0" w:line="360" w:lineRule="auto"/>
        <w:ind w:firstLine="705"/>
        <w:contextualSpacing/>
        <w:jc w:val="both"/>
        <w:rPr>
          <w:rFonts w:ascii="Times New Roman" w:eastAsia="Calibri" w:hAnsi="Times New Roman" w:cs="Times New Roman"/>
          <w:iCs/>
          <w:sz w:val="28"/>
          <w:szCs w:val="28"/>
        </w:rPr>
      </w:pPr>
      <w:r w:rsidRPr="00920DCC">
        <w:rPr>
          <w:rFonts w:ascii="Times New Roman" w:eastAsia="Calibri" w:hAnsi="Times New Roman" w:cs="Times New Roman"/>
          <w:iCs/>
          <w:sz w:val="28"/>
          <w:szCs w:val="28"/>
        </w:rPr>
        <w:t xml:space="preserve">Указанные мероприятия являются приоритетными мероприятиями государственной поддержки субъектов </w:t>
      </w:r>
      <w:r w:rsidR="00012C7C">
        <w:rPr>
          <w:rFonts w:ascii="Times New Roman" w:eastAsia="Calibri" w:hAnsi="Times New Roman" w:cs="Times New Roman"/>
          <w:iCs/>
          <w:sz w:val="28"/>
          <w:szCs w:val="28"/>
        </w:rPr>
        <w:t xml:space="preserve">малого и среднего предпринимательства (далее – субъектов </w:t>
      </w:r>
      <w:r w:rsidRPr="00920DCC">
        <w:rPr>
          <w:rFonts w:ascii="Times New Roman" w:eastAsia="Calibri" w:hAnsi="Times New Roman" w:cs="Times New Roman"/>
          <w:iCs/>
          <w:sz w:val="28"/>
          <w:szCs w:val="28"/>
        </w:rPr>
        <w:t>МСП</w:t>
      </w:r>
      <w:r w:rsidR="00012C7C">
        <w:rPr>
          <w:rFonts w:ascii="Times New Roman" w:eastAsia="Calibri" w:hAnsi="Times New Roman" w:cs="Times New Roman"/>
          <w:iCs/>
          <w:sz w:val="28"/>
          <w:szCs w:val="28"/>
        </w:rPr>
        <w:t>)</w:t>
      </w:r>
      <w:r w:rsidRPr="00920DCC">
        <w:rPr>
          <w:rFonts w:ascii="Times New Roman" w:eastAsia="Calibri" w:hAnsi="Times New Roman" w:cs="Times New Roman"/>
          <w:iCs/>
          <w:sz w:val="28"/>
          <w:szCs w:val="28"/>
        </w:rPr>
        <w:t xml:space="preserve">, носят межотраслевой характер и доступны для субъектов </w:t>
      </w:r>
      <w:r w:rsidR="00012C7C">
        <w:rPr>
          <w:rFonts w:ascii="Times New Roman" w:eastAsia="Calibri" w:hAnsi="Times New Roman" w:cs="Times New Roman"/>
          <w:iCs/>
          <w:sz w:val="28"/>
          <w:szCs w:val="28"/>
        </w:rPr>
        <w:t>МСП</w:t>
      </w:r>
      <w:r w:rsidRPr="00920DCC">
        <w:rPr>
          <w:rFonts w:ascii="Times New Roman" w:eastAsia="Calibri" w:hAnsi="Times New Roman" w:cs="Times New Roman"/>
          <w:iCs/>
          <w:sz w:val="28"/>
          <w:szCs w:val="28"/>
        </w:rPr>
        <w:t>, реализующих свою деятельность в различных сферах и находящихся на разных стадиях развития бизнеса.</w:t>
      </w:r>
    </w:p>
    <w:p w:rsidR="00920DCC" w:rsidRPr="00920DCC" w:rsidRDefault="00920DCC" w:rsidP="00920DCC">
      <w:pPr>
        <w:widowControl w:val="0"/>
        <w:spacing w:after="0" w:line="360" w:lineRule="auto"/>
        <w:ind w:firstLine="709"/>
        <w:jc w:val="both"/>
        <w:rPr>
          <w:rFonts w:ascii="Times New Roman" w:eastAsia="Times New Roman" w:hAnsi="Times New Roman" w:cs="Times New Roman"/>
          <w:sz w:val="28"/>
          <w:szCs w:val="28"/>
          <w:lang w:eastAsia="ru-RU"/>
        </w:rPr>
      </w:pPr>
      <w:r w:rsidRPr="00920DCC">
        <w:rPr>
          <w:rFonts w:ascii="Times New Roman" w:eastAsia="Times New Roman" w:hAnsi="Times New Roman" w:cs="Times New Roman"/>
          <w:sz w:val="28"/>
          <w:szCs w:val="28"/>
          <w:lang w:eastAsia="ru-RU"/>
        </w:rPr>
        <w:t xml:space="preserve">Всего на поддержку </w:t>
      </w:r>
      <w:r w:rsidR="00012C7C">
        <w:rPr>
          <w:rFonts w:ascii="Times New Roman" w:eastAsia="Times New Roman" w:hAnsi="Times New Roman" w:cs="Times New Roman"/>
          <w:sz w:val="28"/>
          <w:szCs w:val="28"/>
          <w:lang w:eastAsia="ru-RU"/>
        </w:rPr>
        <w:t xml:space="preserve">субъектов </w:t>
      </w:r>
      <w:r w:rsidRPr="00920DCC">
        <w:rPr>
          <w:rFonts w:ascii="Times New Roman" w:eastAsia="Times New Roman" w:hAnsi="Times New Roman" w:cs="Times New Roman"/>
          <w:sz w:val="28"/>
          <w:szCs w:val="28"/>
          <w:lang w:eastAsia="ru-RU"/>
        </w:rPr>
        <w:t xml:space="preserve">МСП в 2015 году направлено 1 486,3 млн. рублей, в том числе: </w:t>
      </w:r>
    </w:p>
    <w:p w:rsidR="00920DCC" w:rsidRPr="00920DCC" w:rsidRDefault="00920DCC" w:rsidP="00920DCC">
      <w:pPr>
        <w:widowControl w:val="0"/>
        <w:spacing w:after="0" w:line="360" w:lineRule="auto"/>
        <w:ind w:firstLine="709"/>
        <w:jc w:val="both"/>
        <w:rPr>
          <w:rFonts w:ascii="Times New Roman" w:eastAsia="Times New Roman" w:hAnsi="Times New Roman" w:cs="Times New Roman"/>
          <w:sz w:val="28"/>
          <w:szCs w:val="28"/>
          <w:lang w:eastAsia="ru-RU"/>
        </w:rPr>
      </w:pPr>
      <w:r w:rsidRPr="00920DCC">
        <w:rPr>
          <w:rFonts w:ascii="Times New Roman" w:eastAsia="Times New Roman" w:hAnsi="Times New Roman" w:cs="Times New Roman"/>
          <w:sz w:val="28"/>
          <w:szCs w:val="28"/>
          <w:lang w:eastAsia="ru-RU"/>
        </w:rPr>
        <w:t xml:space="preserve">657,5 млн. рублей </w:t>
      </w:r>
      <w:r w:rsidR="00012C7C" w:rsidRPr="00920DCC">
        <w:rPr>
          <w:rFonts w:ascii="Times New Roman" w:eastAsia="Times New Roman" w:hAnsi="Times New Roman" w:cs="Times New Roman"/>
          <w:sz w:val="28"/>
          <w:szCs w:val="28"/>
          <w:lang w:eastAsia="ru-RU"/>
        </w:rPr>
        <w:t>–</w:t>
      </w:r>
      <w:r w:rsidRPr="00920DCC">
        <w:rPr>
          <w:rFonts w:ascii="Times New Roman" w:eastAsia="Times New Roman" w:hAnsi="Times New Roman" w:cs="Times New Roman"/>
          <w:sz w:val="28"/>
          <w:szCs w:val="28"/>
          <w:lang w:eastAsia="ru-RU"/>
        </w:rPr>
        <w:t xml:space="preserve"> средства автономного округа; </w:t>
      </w:r>
    </w:p>
    <w:p w:rsidR="00920DCC" w:rsidRPr="00920DCC" w:rsidRDefault="00920DCC" w:rsidP="00920DCC">
      <w:pPr>
        <w:widowControl w:val="0"/>
        <w:spacing w:after="0" w:line="360" w:lineRule="auto"/>
        <w:ind w:firstLine="709"/>
        <w:jc w:val="both"/>
        <w:rPr>
          <w:rFonts w:ascii="Times New Roman" w:eastAsia="Times New Roman" w:hAnsi="Times New Roman" w:cs="Times New Roman"/>
          <w:sz w:val="28"/>
          <w:szCs w:val="28"/>
          <w:lang w:eastAsia="ru-RU"/>
        </w:rPr>
      </w:pPr>
      <w:r w:rsidRPr="00920DCC">
        <w:rPr>
          <w:rFonts w:ascii="Times New Roman" w:eastAsia="Times New Roman" w:hAnsi="Times New Roman" w:cs="Times New Roman"/>
          <w:sz w:val="28"/>
          <w:szCs w:val="28"/>
          <w:lang w:eastAsia="ru-RU"/>
        </w:rPr>
        <w:t xml:space="preserve">82,1 млн. рублей </w:t>
      </w:r>
      <w:r w:rsidR="00012C7C" w:rsidRPr="00920DCC">
        <w:rPr>
          <w:rFonts w:ascii="Times New Roman" w:eastAsia="Times New Roman" w:hAnsi="Times New Roman" w:cs="Times New Roman"/>
          <w:sz w:val="28"/>
          <w:szCs w:val="28"/>
          <w:lang w:eastAsia="ru-RU"/>
        </w:rPr>
        <w:t>–</w:t>
      </w:r>
      <w:r w:rsidRPr="00920DCC">
        <w:rPr>
          <w:rFonts w:ascii="Times New Roman" w:eastAsia="Times New Roman" w:hAnsi="Times New Roman" w:cs="Times New Roman"/>
          <w:sz w:val="28"/>
          <w:szCs w:val="28"/>
          <w:lang w:eastAsia="ru-RU"/>
        </w:rPr>
        <w:t xml:space="preserve"> средства федерального бюджета;</w:t>
      </w:r>
    </w:p>
    <w:p w:rsidR="00920DCC" w:rsidRPr="00920DCC" w:rsidRDefault="00920DCC" w:rsidP="00920DCC">
      <w:pPr>
        <w:widowControl w:val="0"/>
        <w:spacing w:after="0" w:line="360" w:lineRule="auto"/>
        <w:ind w:firstLine="709"/>
        <w:jc w:val="both"/>
        <w:rPr>
          <w:rFonts w:ascii="Times New Roman" w:eastAsia="Times New Roman" w:hAnsi="Times New Roman" w:cs="Times New Roman"/>
          <w:sz w:val="28"/>
          <w:szCs w:val="28"/>
          <w:lang w:eastAsia="ru-RU"/>
        </w:rPr>
      </w:pPr>
      <w:r w:rsidRPr="00920DCC">
        <w:rPr>
          <w:rFonts w:ascii="Times New Roman" w:eastAsia="Times New Roman" w:hAnsi="Times New Roman" w:cs="Times New Roman"/>
          <w:sz w:val="28"/>
          <w:szCs w:val="28"/>
          <w:lang w:eastAsia="ru-RU"/>
        </w:rPr>
        <w:t>39,8 млн. рублей – средства муниципальных образований;</w:t>
      </w:r>
    </w:p>
    <w:p w:rsidR="00920DCC" w:rsidRPr="00920DCC" w:rsidRDefault="00920DCC" w:rsidP="00920DCC">
      <w:pPr>
        <w:widowControl w:val="0"/>
        <w:spacing w:after="0" w:line="360" w:lineRule="auto"/>
        <w:ind w:firstLine="709"/>
        <w:jc w:val="both"/>
        <w:rPr>
          <w:rFonts w:ascii="Times New Roman" w:eastAsia="Times New Roman" w:hAnsi="Times New Roman" w:cs="Times New Roman"/>
          <w:sz w:val="28"/>
          <w:szCs w:val="28"/>
          <w:lang w:eastAsia="ru-RU"/>
        </w:rPr>
      </w:pPr>
      <w:r w:rsidRPr="00920DCC">
        <w:rPr>
          <w:rFonts w:ascii="Times New Roman" w:eastAsia="Times New Roman" w:hAnsi="Times New Roman" w:cs="Times New Roman"/>
          <w:sz w:val="28"/>
          <w:szCs w:val="28"/>
          <w:lang w:eastAsia="ru-RU"/>
        </w:rPr>
        <w:t xml:space="preserve">606,9 млн. рублей </w:t>
      </w:r>
      <w:r w:rsidR="00012C7C" w:rsidRPr="00920DCC">
        <w:rPr>
          <w:rFonts w:ascii="Times New Roman" w:eastAsia="Times New Roman" w:hAnsi="Times New Roman" w:cs="Times New Roman"/>
          <w:sz w:val="28"/>
          <w:szCs w:val="28"/>
          <w:lang w:eastAsia="ru-RU"/>
        </w:rPr>
        <w:t>–</w:t>
      </w:r>
      <w:r w:rsidR="00012C7C">
        <w:rPr>
          <w:rFonts w:ascii="Times New Roman" w:eastAsia="Times New Roman" w:hAnsi="Times New Roman" w:cs="Times New Roman"/>
          <w:sz w:val="28"/>
          <w:szCs w:val="28"/>
          <w:lang w:eastAsia="ru-RU"/>
        </w:rPr>
        <w:t xml:space="preserve"> </w:t>
      </w:r>
      <w:r w:rsidRPr="00920DCC">
        <w:rPr>
          <w:rFonts w:ascii="Times New Roman" w:eastAsia="Times New Roman" w:hAnsi="Times New Roman" w:cs="Times New Roman"/>
          <w:sz w:val="28"/>
          <w:szCs w:val="28"/>
          <w:lang w:eastAsia="ru-RU"/>
        </w:rPr>
        <w:t>средства организаций инфраструктуры поддержки предпринимательства.</w:t>
      </w:r>
    </w:p>
    <w:p w:rsidR="00920DCC" w:rsidRPr="00920DCC" w:rsidRDefault="00920DCC" w:rsidP="00920DCC">
      <w:pPr>
        <w:widowControl w:val="0"/>
        <w:spacing w:after="0" w:line="360" w:lineRule="auto"/>
        <w:ind w:firstLine="709"/>
        <w:jc w:val="both"/>
        <w:rPr>
          <w:rFonts w:ascii="Times New Roman" w:eastAsia="Times New Roman" w:hAnsi="Times New Roman" w:cs="Times New Roman"/>
          <w:sz w:val="28"/>
          <w:szCs w:val="28"/>
          <w:lang w:eastAsia="ru-RU"/>
        </w:rPr>
      </w:pPr>
      <w:r w:rsidRPr="00920DCC">
        <w:rPr>
          <w:rFonts w:ascii="Times New Roman" w:eastAsia="Times New Roman" w:hAnsi="Times New Roman" w:cs="Times New Roman"/>
          <w:sz w:val="28"/>
          <w:szCs w:val="28"/>
          <w:lang w:eastAsia="ru-RU"/>
        </w:rPr>
        <w:t>Субъектами, получившими поддержку, привлечено средств банков и лизинговых компаний на сумму 661,9 млн. рублей. Коэффициент привлеченных средств на 1 рубль средств бюджета округа, предусмотренных программой, составил 1,0.</w:t>
      </w:r>
      <w:r w:rsidR="00012C7C">
        <w:rPr>
          <w:rFonts w:ascii="Times New Roman" w:eastAsia="Times New Roman" w:hAnsi="Times New Roman" w:cs="Times New Roman"/>
          <w:sz w:val="28"/>
          <w:szCs w:val="28"/>
          <w:lang w:eastAsia="ru-RU"/>
        </w:rPr>
        <w:t xml:space="preserve"> </w:t>
      </w:r>
      <w:r w:rsidRPr="00920DCC">
        <w:rPr>
          <w:rFonts w:ascii="Times New Roman" w:eastAsia="Times New Roman" w:hAnsi="Times New Roman" w:cs="Times New Roman"/>
          <w:sz w:val="28"/>
          <w:szCs w:val="28"/>
          <w:lang w:eastAsia="ru-RU"/>
        </w:rPr>
        <w:t>Поддержка оказана 66</w:t>
      </w:r>
      <w:r w:rsidR="00B52514">
        <w:rPr>
          <w:rFonts w:ascii="Times New Roman" w:eastAsia="Times New Roman" w:hAnsi="Times New Roman" w:cs="Times New Roman"/>
          <w:sz w:val="28"/>
          <w:szCs w:val="28"/>
          <w:lang w:eastAsia="ru-RU"/>
        </w:rPr>
        <w:t> </w:t>
      </w:r>
      <w:r w:rsidRPr="00920DCC">
        <w:rPr>
          <w:rFonts w:ascii="Times New Roman" w:eastAsia="Times New Roman" w:hAnsi="Times New Roman" w:cs="Times New Roman"/>
          <w:sz w:val="28"/>
          <w:szCs w:val="28"/>
          <w:lang w:eastAsia="ru-RU"/>
        </w:rPr>
        <w:t>180</w:t>
      </w:r>
      <w:r w:rsidR="00B52514">
        <w:rPr>
          <w:rFonts w:ascii="Times New Roman" w:eastAsia="Times New Roman" w:hAnsi="Times New Roman" w:cs="Times New Roman"/>
          <w:sz w:val="28"/>
          <w:szCs w:val="28"/>
          <w:lang w:eastAsia="ru-RU"/>
        </w:rPr>
        <w:t xml:space="preserve"> </w:t>
      </w:r>
      <w:r w:rsidRPr="00920DCC">
        <w:rPr>
          <w:rFonts w:ascii="Times New Roman" w:eastAsia="Times New Roman" w:hAnsi="Times New Roman" w:cs="Times New Roman"/>
          <w:sz w:val="28"/>
          <w:szCs w:val="28"/>
          <w:lang w:eastAsia="ru-RU"/>
        </w:rPr>
        <w:t xml:space="preserve">субъектам </w:t>
      </w:r>
      <w:r w:rsidR="00012C7C">
        <w:rPr>
          <w:rFonts w:ascii="Times New Roman" w:eastAsia="Times New Roman" w:hAnsi="Times New Roman" w:cs="Times New Roman"/>
          <w:sz w:val="28"/>
          <w:szCs w:val="28"/>
          <w:lang w:eastAsia="ru-RU"/>
        </w:rPr>
        <w:t>МСП</w:t>
      </w:r>
      <w:r w:rsidRPr="00920DCC">
        <w:rPr>
          <w:rFonts w:ascii="Times New Roman" w:eastAsia="Times New Roman" w:hAnsi="Times New Roman" w:cs="Times New Roman"/>
          <w:sz w:val="28"/>
          <w:szCs w:val="28"/>
          <w:lang w:eastAsia="ru-RU"/>
        </w:rPr>
        <w:t xml:space="preserve">. </w:t>
      </w:r>
    </w:p>
    <w:p w:rsidR="00920DCC" w:rsidRPr="00920DCC" w:rsidRDefault="00012C7C" w:rsidP="00920DCC">
      <w:pPr>
        <w:widowControl w:val="0"/>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Югра </w:t>
      </w:r>
      <w:r w:rsidR="00920DCC" w:rsidRPr="00920DCC">
        <w:rPr>
          <w:rFonts w:ascii="Times New Roman" w:eastAsia="Times New Roman" w:hAnsi="Times New Roman" w:cs="Times New Roman"/>
          <w:sz w:val="28"/>
          <w:szCs w:val="28"/>
          <w:lang w:eastAsia="ru-RU"/>
        </w:rPr>
        <w:t>ежегодно участвует в конкурсе Минэкономразвития России по привлечению средств федерального бюджета на государственную поддержку малого и среднего предпринимательства. За период 2011 – 2015 годы привлечены средства федерального бюджета в общем объеме 949,6 млн. рублей, в том числе в 2015 году – 179,6 млн. рублей, из них 7,0 млн. рублей – на развитие субъектов, осуществляющих инновационную деятельность.</w:t>
      </w:r>
    </w:p>
    <w:p w:rsidR="00920DCC" w:rsidRPr="00920DCC" w:rsidRDefault="00920DCC" w:rsidP="00920DCC">
      <w:pPr>
        <w:spacing w:after="0" w:line="360" w:lineRule="auto"/>
        <w:ind w:firstLine="708"/>
        <w:contextualSpacing/>
        <w:jc w:val="both"/>
        <w:rPr>
          <w:rFonts w:ascii="Times New Roman" w:eastAsia="Times New Roman" w:hAnsi="Times New Roman" w:cs="Times New Roman"/>
          <w:sz w:val="28"/>
          <w:szCs w:val="28"/>
          <w:lang w:eastAsia="ru-RU"/>
        </w:rPr>
      </w:pPr>
      <w:proofErr w:type="gramStart"/>
      <w:r w:rsidRPr="00920DCC">
        <w:rPr>
          <w:rFonts w:ascii="Times New Roman" w:eastAsia="Calibri" w:hAnsi="Times New Roman" w:cs="Times New Roman"/>
          <w:sz w:val="28"/>
          <w:szCs w:val="28"/>
        </w:rPr>
        <w:t>В текущем году округом привлечено средств федерального бюджета в размере 110,5 млн. рублей (микрофинансирование, экспорт, центры молодежного инновационного творчество (молодежное инновационное предпринимательство).</w:t>
      </w:r>
      <w:proofErr w:type="gramEnd"/>
    </w:p>
    <w:p w:rsidR="00920DCC" w:rsidRPr="00920DCC" w:rsidRDefault="00920DCC" w:rsidP="00920DCC">
      <w:pPr>
        <w:spacing w:after="0" w:line="360" w:lineRule="auto"/>
        <w:ind w:firstLine="708"/>
        <w:contextualSpacing/>
        <w:jc w:val="both"/>
        <w:rPr>
          <w:rFonts w:ascii="Times New Roman" w:eastAsia="Times New Roman" w:hAnsi="Times New Roman" w:cs="Times New Roman"/>
          <w:sz w:val="28"/>
          <w:szCs w:val="28"/>
          <w:lang w:eastAsia="ru-RU"/>
        </w:rPr>
      </w:pPr>
      <w:r w:rsidRPr="00920DCC">
        <w:rPr>
          <w:rFonts w:ascii="Times New Roman" w:eastAsia="Times New Roman" w:hAnsi="Times New Roman" w:cs="Times New Roman"/>
          <w:sz w:val="28"/>
          <w:szCs w:val="28"/>
          <w:lang w:eastAsia="ru-RU"/>
        </w:rPr>
        <w:lastRenderedPageBreak/>
        <w:t>Югра активно сотрудничает с федеральными институтами развития предпринимательства, такими как:</w:t>
      </w:r>
    </w:p>
    <w:p w:rsidR="00920DCC" w:rsidRPr="00920DCC" w:rsidRDefault="00920DCC" w:rsidP="00920DCC">
      <w:pPr>
        <w:spacing w:after="0" w:line="360" w:lineRule="auto"/>
        <w:ind w:firstLine="708"/>
        <w:contextualSpacing/>
        <w:jc w:val="both"/>
        <w:rPr>
          <w:rFonts w:ascii="Times New Roman" w:eastAsia="Times New Roman" w:hAnsi="Times New Roman" w:cs="Times New Roman"/>
          <w:sz w:val="28"/>
          <w:szCs w:val="28"/>
          <w:lang w:eastAsia="ru-RU"/>
        </w:rPr>
      </w:pPr>
      <w:r w:rsidRPr="00920DCC">
        <w:rPr>
          <w:rFonts w:ascii="TimesNewRomanPSMT" w:eastAsia="Times New Roman" w:hAnsi="TimesNewRomanPSMT" w:cs="TimesNewRomanPSMT"/>
          <w:sz w:val="28"/>
          <w:szCs w:val="28"/>
          <w:lang w:eastAsia="ru-RU"/>
        </w:rPr>
        <w:t>АНО «Агентство стратегических инициатив по продвижению новых проектов – создание детских технопарков, внедрение лучших муниципальных практик;</w:t>
      </w:r>
    </w:p>
    <w:p w:rsidR="00920DCC" w:rsidRPr="00920DCC" w:rsidRDefault="00920DCC" w:rsidP="00920DCC">
      <w:pPr>
        <w:spacing w:after="0" w:line="360" w:lineRule="auto"/>
        <w:ind w:firstLine="708"/>
        <w:contextualSpacing/>
        <w:jc w:val="both"/>
        <w:rPr>
          <w:rFonts w:ascii="Times New Roman" w:eastAsia="Times New Roman" w:hAnsi="Times New Roman" w:cs="Times New Roman"/>
          <w:sz w:val="28"/>
          <w:szCs w:val="28"/>
          <w:lang w:eastAsia="ru-RU"/>
        </w:rPr>
      </w:pPr>
      <w:r w:rsidRPr="00920DCC">
        <w:rPr>
          <w:rFonts w:ascii="Times New Roman" w:eastAsia="Times New Roman" w:hAnsi="Times New Roman" w:cs="Times New Roman"/>
          <w:sz w:val="28"/>
          <w:szCs w:val="28"/>
          <w:lang w:eastAsia="ru-RU"/>
        </w:rPr>
        <w:t>АО «Федеральная корпорация по развитию малого и среднего предпринимательства» – заключено соглашение с Правительством Югры (дорожная карта), соглашение с МФЦ;</w:t>
      </w:r>
    </w:p>
    <w:p w:rsidR="00920DCC" w:rsidRPr="00920DCC" w:rsidRDefault="00920DCC" w:rsidP="00920DCC">
      <w:pPr>
        <w:spacing w:after="0" w:line="360" w:lineRule="auto"/>
        <w:ind w:firstLine="708"/>
        <w:contextualSpacing/>
        <w:jc w:val="both"/>
        <w:rPr>
          <w:rFonts w:ascii="Times New Roman" w:eastAsia="Times New Roman" w:hAnsi="Times New Roman" w:cs="Times New Roman"/>
          <w:sz w:val="28"/>
          <w:szCs w:val="28"/>
          <w:lang w:eastAsia="ru-RU"/>
        </w:rPr>
      </w:pPr>
      <w:r w:rsidRPr="00920DCC">
        <w:rPr>
          <w:rFonts w:ascii="Times New Roman" w:eastAsia="Times New Roman" w:hAnsi="Times New Roman" w:cs="Times New Roman"/>
          <w:sz w:val="28"/>
          <w:szCs w:val="28"/>
          <w:lang w:eastAsia="ru-RU"/>
        </w:rPr>
        <w:t xml:space="preserve">АО «Российский экспортный центр» </w:t>
      </w:r>
      <w:r w:rsidR="00012C7C" w:rsidRPr="00920DCC">
        <w:rPr>
          <w:rFonts w:ascii="Times New Roman" w:eastAsia="Times New Roman" w:hAnsi="Times New Roman" w:cs="Times New Roman"/>
          <w:sz w:val="28"/>
          <w:szCs w:val="28"/>
          <w:lang w:eastAsia="ru-RU"/>
        </w:rPr>
        <w:t>–</w:t>
      </w:r>
      <w:r w:rsidRPr="00920DCC">
        <w:rPr>
          <w:rFonts w:ascii="Times New Roman" w:eastAsia="Times New Roman" w:hAnsi="Times New Roman" w:cs="Times New Roman"/>
          <w:sz w:val="28"/>
          <w:szCs w:val="28"/>
          <w:lang w:eastAsia="ru-RU"/>
        </w:rPr>
        <w:t xml:space="preserve"> соглашение по реализации образовательной программы для экспортеров;</w:t>
      </w:r>
    </w:p>
    <w:p w:rsidR="00920DCC" w:rsidRPr="00920DCC" w:rsidRDefault="00920DCC" w:rsidP="00920DCC">
      <w:pPr>
        <w:spacing w:after="0" w:line="360" w:lineRule="auto"/>
        <w:ind w:firstLine="708"/>
        <w:contextualSpacing/>
        <w:jc w:val="both"/>
        <w:rPr>
          <w:rFonts w:ascii="heliosregular" w:eastAsia="Times New Roman" w:hAnsi="heliosregular" w:cs="Arial"/>
          <w:bCs/>
          <w:sz w:val="28"/>
          <w:szCs w:val="28"/>
          <w:lang w:eastAsia="ru-RU"/>
        </w:rPr>
      </w:pPr>
      <w:r w:rsidRPr="00920DCC">
        <w:rPr>
          <w:rFonts w:ascii="heliosregular" w:eastAsia="Times New Roman" w:hAnsi="heliosregular" w:cs="Arial"/>
          <w:sz w:val="28"/>
          <w:szCs w:val="28"/>
          <w:lang w:eastAsia="ru-RU"/>
        </w:rPr>
        <w:t>ФГБУ</w:t>
      </w:r>
      <w:r w:rsidRPr="00920DCC">
        <w:rPr>
          <w:rFonts w:ascii="heliosregular" w:eastAsia="Times New Roman" w:hAnsi="heliosregular" w:cs="Arial"/>
          <w:b/>
          <w:bCs/>
          <w:sz w:val="28"/>
          <w:szCs w:val="28"/>
          <w:lang w:eastAsia="ru-RU"/>
        </w:rPr>
        <w:t xml:space="preserve"> </w:t>
      </w:r>
      <w:r w:rsidRPr="00920DCC">
        <w:rPr>
          <w:rFonts w:ascii="heliosregular" w:eastAsia="Times New Roman" w:hAnsi="heliosregular" w:cs="Arial"/>
          <w:bCs/>
          <w:sz w:val="28"/>
          <w:szCs w:val="28"/>
          <w:lang w:eastAsia="ru-RU"/>
        </w:rPr>
        <w:t xml:space="preserve">«Фонд содействия развитию малых форм предприятий в научно-технической сфере» </w:t>
      </w:r>
      <w:r w:rsidR="00012C7C" w:rsidRPr="00920DCC">
        <w:rPr>
          <w:rFonts w:ascii="Times New Roman" w:eastAsia="Times New Roman" w:hAnsi="Times New Roman" w:cs="Times New Roman"/>
          <w:sz w:val="28"/>
          <w:szCs w:val="28"/>
          <w:lang w:eastAsia="ru-RU"/>
        </w:rPr>
        <w:t>–</w:t>
      </w:r>
      <w:r w:rsidRPr="00920DCC">
        <w:rPr>
          <w:rFonts w:ascii="heliosregular" w:eastAsia="Times New Roman" w:hAnsi="heliosregular" w:cs="Arial"/>
          <w:bCs/>
          <w:sz w:val="28"/>
          <w:szCs w:val="28"/>
          <w:lang w:eastAsia="ru-RU"/>
        </w:rPr>
        <w:t xml:space="preserve"> соглашение с </w:t>
      </w:r>
      <w:r w:rsidR="00012C7C">
        <w:rPr>
          <w:rFonts w:ascii="heliosregular" w:eastAsia="Times New Roman" w:hAnsi="heliosregular" w:cs="Arial"/>
          <w:bCs/>
          <w:sz w:val="28"/>
          <w:szCs w:val="28"/>
          <w:lang w:eastAsia="ru-RU"/>
        </w:rPr>
        <w:t>Т</w:t>
      </w:r>
      <w:r w:rsidRPr="00920DCC">
        <w:rPr>
          <w:rFonts w:ascii="heliosregular" w:eastAsia="Times New Roman" w:hAnsi="heliosregular" w:cs="Arial"/>
          <w:bCs/>
          <w:sz w:val="28"/>
          <w:szCs w:val="28"/>
          <w:lang w:eastAsia="ru-RU"/>
        </w:rPr>
        <w:t xml:space="preserve">ехнопарком (реализация конкурсных программ), взаимодействие по созданию </w:t>
      </w:r>
      <w:r w:rsidR="00012C7C">
        <w:rPr>
          <w:rFonts w:ascii="heliosregular" w:eastAsia="Times New Roman" w:hAnsi="heliosregular" w:cs="Arial"/>
          <w:bCs/>
          <w:sz w:val="28"/>
          <w:szCs w:val="28"/>
          <w:lang w:eastAsia="ru-RU"/>
        </w:rPr>
        <w:t>центров молодежного инновационного творчества</w:t>
      </w:r>
      <w:r w:rsidRPr="00920DCC">
        <w:rPr>
          <w:rFonts w:ascii="heliosregular" w:eastAsia="Times New Roman" w:hAnsi="heliosregular" w:cs="Arial"/>
          <w:bCs/>
          <w:sz w:val="28"/>
          <w:szCs w:val="28"/>
          <w:lang w:eastAsia="ru-RU"/>
        </w:rPr>
        <w:t>.</w:t>
      </w:r>
    </w:p>
    <w:p w:rsidR="00920DCC" w:rsidRDefault="00920DCC" w:rsidP="00920DCC">
      <w:pPr>
        <w:widowControl w:val="0"/>
        <w:spacing w:after="0" w:line="360" w:lineRule="auto"/>
        <w:ind w:firstLine="708"/>
        <w:jc w:val="both"/>
        <w:rPr>
          <w:rFonts w:ascii="Times New Roman" w:eastAsia="Times New Roman" w:hAnsi="Times New Roman" w:cs="Times New Roman"/>
          <w:iCs/>
          <w:sz w:val="28"/>
          <w:szCs w:val="28"/>
          <w:lang w:eastAsia="ru-RU"/>
        </w:rPr>
      </w:pPr>
      <w:r w:rsidRPr="00920DCC">
        <w:rPr>
          <w:rFonts w:ascii="Times New Roman" w:eastAsia="Times New Roman" w:hAnsi="Times New Roman" w:cs="Times New Roman"/>
          <w:iCs/>
          <w:sz w:val="28"/>
          <w:szCs w:val="28"/>
          <w:lang w:eastAsia="ru-RU"/>
        </w:rPr>
        <w:t xml:space="preserve">В дальнейшем планируется продолжить работу с учетом набранных темпов, при этом усилия предполагается направить на развитие инновационного и социального предпринимательства, а также на раскрытие потенциала подрастающего поколения, самореализацию. </w:t>
      </w:r>
    </w:p>
    <w:p w:rsidR="00920DCC" w:rsidRPr="00920DCC" w:rsidRDefault="00920DCC" w:rsidP="00920DCC">
      <w:pPr>
        <w:widowControl w:val="0"/>
        <w:spacing w:after="0" w:line="360" w:lineRule="auto"/>
        <w:ind w:firstLine="709"/>
        <w:jc w:val="both"/>
        <w:rPr>
          <w:rFonts w:ascii="Times New Roman" w:eastAsia="Times New Roman" w:hAnsi="Times New Roman" w:cs="Times New Roman"/>
          <w:sz w:val="28"/>
          <w:szCs w:val="28"/>
          <w:lang w:eastAsia="ru-RU"/>
        </w:rPr>
      </w:pPr>
      <w:proofErr w:type="gramStart"/>
      <w:r w:rsidRPr="00920DCC">
        <w:rPr>
          <w:rFonts w:ascii="Times New Roman" w:eastAsia="Times New Roman" w:hAnsi="Times New Roman" w:cs="Times New Roman"/>
          <w:sz w:val="28"/>
          <w:szCs w:val="28"/>
          <w:lang w:eastAsia="ru-RU"/>
        </w:rPr>
        <w:t xml:space="preserve">На 1 января 2016 года в автономном округе осуществляют деятельность 74,4 тыс. субъектов </w:t>
      </w:r>
      <w:r w:rsidR="00012C7C">
        <w:rPr>
          <w:rFonts w:ascii="Times New Roman" w:eastAsia="Times New Roman" w:hAnsi="Times New Roman" w:cs="Times New Roman"/>
          <w:sz w:val="28"/>
          <w:szCs w:val="28"/>
          <w:lang w:eastAsia="ru-RU"/>
        </w:rPr>
        <w:t>МСП</w:t>
      </w:r>
      <w:r w:rsidRPr="00920DCC">
        <w:rPr>
          <w:rFonts w:ascii="Times New Roman" w:eastAsia="Times New Roman" w:hAnsi="Times New Roman" w:cs="Times New Roman"/>
          <w:sz w:val="28"/>
          <w:szCs w:val="28"/>
          <w:lang w:eastAsia="ru-RU"/>
        </w:rPr>
        <w:t>, незначительное снижение показателя в сравнении с 2014 годом на 4% обусловлено оптимизацией созданных предприятий самими предпринимателями, при этом показатель среднесписочной численности работников на малых и средних предприятиях превысил предыдущий показатель на 1,7% и составил 118,7 тыс. человек.</w:t>
      </w:r>
      <w:proofErr w:type="gramEnd"/>
    </w:p>
    <w:p w:rsidR="00920DCC" w:rsidRPr="00920DCC" w:rsidRDefault="00920DCC" w:rsidP="00920DCC">
      <w:pPr>
        <w:widowControl w:val="0"/>
        <w:spacing w:after="0" w:line="360" w:lineRule="auto"/>
        <w:ind w:firstLine="709"/>
        <w:jc w:val="both"/>
        <w:rPr>
          <w:rFonts w:ascii="Times New Roman" w:eastAsia="Times New Roman" w:hAnsi="Times New Roman" w:cs="Times New Roman"/>
          <w:sz w:val="28"/>
          <w:szCs w:val="28"/>
          <w:lang w:eastAsia="ru-RU"/>
        </w:rPr>
      </w:pPr>
      <w:proofErr w:type="gramStart"/>
      <w:r w:rsidRPr="00920DCC">
        <w:rPr>
          <w:rFonts w:ascii="Times New Roman" w:eastAsia="Times New Roman" w:hAnsi="Times New Roman" w:cs="Times New Roman"/>
          <w:sz w:val="28"/>
          <w:szCs w:val="28"/>
          <w:lang w:eastAsia="ru-RU"/>
        </w:rPr>
        <w:t>Доля работающих на предприятиях малого и среднего предпринимательства в общей численности работающих, составила 15,6%, что больше 2014 года на 0,4% (2014 год – 15,2%).</w:t>
      </w:r>
      <w:proofErr w:type="gramEnd"/>
    </w:p>
    <w:p w:rsidR="00920DCC" w:rsidRPr="00920DCC" w:rsidRDefault="00920DCC" w:rsidP="00920DCC">
      <w:pPr>
        <w:widowControl w:val="0"/>
        <w:spacing w:after="0" w:line="360" w:lineRule="auto"/>
        <w:ind w:firstLine="709"/>
        <w:jc w:val="both"/>
        <w:rPr>
          <w:rFonts w:ascii="Times New Roman" w:eastAsia="Times New Roman" w:hAnsi="Times New Roman" w:cs="Times New Roman"/>
          <w:sz w:val="28"/>
          <w:szCs w:val="28"/>
          <w:lang w:eastAsia="ru-RU"/>
        </w:rPr>
      </w:pPr>
      <w:r w:rsidRPr="00920DCC">
        <w:rPr>
          <w:rFonts w:ascii="Times New Roman" w:eastAsia="Times New Roman" w:hAnsi="Times New Roman" w:cs="Times New Roman"/>
          <w:sz w:val="28"/>
          <w:szCs w:val="28"/>
          <w:lang w:eastAsia="ru-RU"/>
        </w:rPr>
        <w:t xml:space="preserve">Оборот предприятий малого и среднего предпринимательства за </w:t>
      </w:r>
      <w:r w:rsidRPr="00920DCC">
        <w:rPr>
          <w:rFonts w:ascii="Times New Roman" w:eastAsia="Times New Roman" w:hAnsi="Times New Roman" w:cs="Times New Roman"/>
          <w:sz w:val="28"/>
          <w:szCs w:val="28"/>
          <w:lang w:eastAsia="ru-RU"/>
        </w:rPr>
        <w:lastRenderedPageBreak/>
        <w:t xml:space="preserve">2015 год составил 415,0 млрд. рублей, что превышает показатель 2014 года на 8,3% (2014 год </w:t>
      </w:r>
      <w:r w:rsidR="00937F0A">
        <w:rPr>
          <w:rFonts w:ascii="Times New Roman" w:eastAsia="Times New Roman" w:hAnsi="Times New Roman" w:cs="Times New Roman"/>
          <w:sz w:val="28"/>
          <w:szCs w:val="28"/>
          <w:lang w:eastAsia="ru-RU"/>
        </w:rPr>
        <w:t>–</w:t>
      </w:r>
      <w:r w:rsidRPr="00920DCC">
        <w:rPr>
          <w:rFonts w:ascii="Times New Roman" w:eastAsia="Times New Roman" w:hAnsi="Times New Roman" w:cs="Times New Roman"/>
          <w:sz w:val="28"/>
          <w:szCs w:val="28"/>
          <w:lang w:eastAsia="ru-RU"/>
        </w:rPr>
        <w:t xml:space="preserve"> 382,9 млрд. рублей).</w:t>
      </w:r>
    </w:p>
    <w:p w:rsidR="00920DCC" w:rsidRPr="00920DCC" w:rsidRDefault="00920DCC" w:rsidP="00920DCC">
      <w:pPr>
        <w:widowControl w:val="0"/>
        <w:spacing w:after="0" w:line="360" w:lineRule="auto"/>
        <w:ind w:firstLine="709"/>
        <w:jc w:val="both"/>
        <w:rPr>
          <w:rFonts w:ascii="Times New Roman" w:eastAsia="Times New Roman" w:hAnsi="Times New Roman" w:cs="Times New Roman"/>
          <w:sz w:val="28"/>
          <w:szCs w:val="28"/>
          <w:lang w:eastAsia="ru-RU"/>
        </w:rPr>
      </w:pPr>
      <w:r w:rsidRPr="00920DCC">
        <w:rPr>
          <w:rFonts w:ascii="Times New Roman" w:eastAsia="Times New Roman" w:hAnsi="Times New Roman" w:cs="Times New Roman"/>
          <w:sz w:val="28"/>
          <w:szCs w:val="28"/>
          <w:lang w:eastAsia="ru-RU"/>
        </w:rPr>
        <w:t>Доля оборота в ВРП составила 14,2% (13,5% в 2014 году).</w:t>
      </w:r>
    </w:p>
    <w:p w:rsidR="00920DCC" w:rsidRPr="00920DCC" w:rsidRDefault="00920DCC" w:rsidP="00920DCC">
      <w:pPr>
        <w:widowControl w:val="0"/>
        <w:spacing w:after="0" w:line="360" w:lineRule="auto"/>
        <w:ind w:firstLine="709"/>
        <w:jc w:val="both"/>
        <w:rPr>
          <w:rFonts w:ascii="Times New Roman" w:eastAsia="Times New Roman" w:hAnsi="Times New Roman" w:cs="Times New Roman"/>
          <w:sz w:val="28"/>
          <w:szCs w:val="28"/>
          <w:lang w:eastAsia="ru-RU"/>
        </w:rPr>
      </w:pPr>
      <w:r w:rsidRPr="00920DCC">
        <w:rPr>
          <w:rFonts w:ascii="Times New Roman" w:eastAsia="Times New Roman" w:hAnsi="Times New Roman" w:cs="Times New Roman"/>
          <w:sz w:val="28"/>
          <w:szCs w:val="28"/>
          <w:lang w:eastAsia="ru-RU"/>
        </w:rPr>
        <w:t xml:space="preserve">Увеличился объем налоговых отчислений в бюджеты муниципальных образований субъектами </w:t>
      </w:r>
      <w:r w:rsidR="00012C7C">
        <w:rPr>
          <w:rFonts w:ascii="Times New Roman" w:eastAsia="Times New Roman" w:hAnsi="Times New Roman" w:cs="Times New Roman"/>
          <w:sz w:val="28"/>
          <w:szCs w:val="28"/>
          <w:lang w:eastAsia="ru-RU"/>
        </w:rPr>
        <w:t>МСП</w:t>
      </w:r>
      <w:r w:rsidRPr="00920DCC">
        <w:rPr>
          <w:rFonts w:ascii="Times New Roman" w:eastAsia="Times New Roman" w:hAnsi="Times New Roman" w:cs="Times New Roman"/>
          <w:sz w:val="28"/>
          <w:szCs w:val="28"/>
          <w:lang w:eastAsia="ru-RU"/>
        </w:rPr>
        <w:t xml:space="preserve"> и составил 4</w:t>
      </w:r>
      <w:r w:rsidR="00937F0A">
        <w:rPr>
          <w:rFonts w:ascii="Times New Roman" w:eastAsia="Times New Roman" w:hAnsi="Times New Roman" w:cs="Times New Roman"/>
          <w:sz w:val="28"/>
          <w:szCs w:val="28"/>
          <w:lang w:eastAsia="ru-RU"/>
        </w:rPr>
        <w:t> </w:t>
      </w:r>
      <w:r w:rsidRPr="00920DCC">
        <w:rPr>
          <w:rFonts w:ascii="Times New Roman" w:eastAsia="Times New Roman" w:hAnsi="Times New Roman" w:cs="Times New Roman"/>
          <w:sz w:val="28"/>
          <w:szCs w:val="28"/>
          <w:lang w:eastAsia="ru-RU"/>
        </w:rPr>
        <w:t>591,7 млн. рублей, что больше предыдущего года на 7,7% (4</w:t>
      </w:r>
      <w:r w:rsidR="00937F0A">
        <w:rPr>
          <w:rFonts w:ascii="Times New Roman" w:eastAsia="Times New Roman" w:hAnsi="Times New Roman" w:cs="Times New Roman"/>
          <w:sz w:val="28"/>
          <w:szCs w:val="28"/>
          <w:lang w:eastAsia="ru-RU"/>
        </w:rPr>
        <w:t> </w:t>
      </w:r>
      <w:r w:rsidRPr="00920DCC">
        <w:rPr>
          <w:rFonts w:ascii="Times New Roman" w:eastAsia="Times New Roman" w:hAnsi="Times New Roman" w:cs="Times New Roman"/>
          <w:sz w:val="28"/>
          <w:szCs w:val="28"/>
          <w:lang w:eastAsia="ru-RU"/>
        </w:rPr>
        <w:t>262,4 млн. рублей).</w:t>
      </w:r>
    </w:p>
    <w:p w:rsidR="00920DCC" w:rsidRPr="00920DCC" w:rsidRDefault="00920DCC" w:rsidP="00920DCC">
      <w:pPr>
        <w:widowControl w:val="0"/>
        <w:spacing w:after="0" w:line="360" w:lineRule="auto"/>
        <w:ind w:firstLine="709"/>
        <w:jc w:val="both"/>
        <w:rPr>
          <w:rFonts w:ascii="Times New Roman" w:eastAsia="Times New Roman" w:hAnsi="Times New Roman" w:cs="Times New Roman"/>
          <w:sz w:val="28"/>
          <w:szCs w:val="28"/>
          <w:lang w:eastAsia="ru-RU"/>
        </w:rPr>
      </w:pPr>
      <w:r w:rsidRPr="00920DCC">
        <w:rPr>
          <w:rFonts w:ascii="Times New Roman" w:eastAsia="Times New Roman" w:hAnsi="Times New Roman" w:cs="Times New Roman"/>
          <w:sz w:val="28"/>
          <w:szCs w:val="28"/>
          <w:lang w:eastAsia="ru-RU"/>
        </w:rPr>
        <w:t xml:space="preserve">Несмотря на усиление рисков ведения предпринимательской деятельности и сложности в экономической ситуации, предпринимателями, получившими поддержку, создано большее количество рабочих мест </w:t>
      </w:r>
      <w:r w:rsidR="00937F0A">
        <w:rPr>
          <w:rFonts w:ascii="Times New Roman" w:eastAsia="Times New Roman" w:hAnsi="Times New Roman" w:cs="Times New Roman"/>
          <w:sz w:val="28"/>
          <w:szCs w:val="28"/>
          <w:lang w:eastAsia="ru-RU"/>
        </w:rPr>
        <w:t>–</w:t>
      </w:r>
      <w:r w:rsidRPr="00920DCC">
        <w:rPr>
          <w:rFonts w:ascii="Times New Roman" w:eastAsia="Times New Roman" w:hAnsi="Times New Roman" w:cs="Times New Roman"/>
          <w:sz w:val="28"/>
          <w:szCs w:val="28"/>
          <w:lang w:eastAsia="ru-RU"/>
        </w:rPr>
        <w:t xml:space="preserve"> 2</w:t>
      </w:r>
      <w:r w:rsidR="00937F0A">
        <w:rPr>
          <w:rFonts w:ascii="Times New Roman" w:eastAsia="Times New Roman" w:hAnsi="Times New Roman" w:cs="Times New Roman"/>
          <w:sz w:val="28"/>
          <w:szCs w:val="28"/>
          <w:lang w:eastAsia="ru-RU"/>
        </w:rPr>
        <w:t> </w:t>
      </w:r>
      <w:r w:rsidRPr="00920DCC">
        <w:rPr>
          <w:rFonts w:ascii="Times New Roman" w:eastAsia="Times New Roman" w:hAnsi="Times New Roman" w:cs="Times New Roman"/>
          <w:sz w:val="28"/>
          <w:szCs w:val="28"/>
          <w:lang w:eastAsia="ru-RU"/>
        </w:rPr>
        <w:t>659</w:t>
      </w:r>
      <w:r w:rsidR="00937F0A">
        <w:rPr>
          <w:rFonts w:ascii="Times New Roman" w:eastAsia="Times New Roman" w:hAnsi="Times New Roman" w:cs="Times New Roman"/>
          <w:sz w:val="28"/>
          <w:szCs w:val="28"/>
          <w:lang w:eastAsia="ru-RU"/>
        </w:rPr>
        <w:t xml:space="preserve"> </w:t>
      </w:r>
      <w:r w:rsidRPr="00920DCC">
        <w:rPr>
          <w:rFonts w:ascii="Times New Roman" w:eastAsia="Times New Roman" w:hAnsi="Times New Roman" w:cs="Times New Roman"/>
          <w:sz w:val="28"/>
          <w:szCs w:val="28"/>
          <w:lang w:eastAsia="ru-RU"/>
        </w:rPr>
        <w:t xml:space="preserve">(за 2014 год </w:t>
      </w:r>
      <w:r w:rsidR="00937F0A">
        <w:rPr>
          <w:rFonts w:ascii="Times New Roman" w:eastAsia="Times New Roman" w:hAnsi="Times New Roman" w:cs="Times New Roman"/>
          <w:sz w:val="28"/>
          <w:szCs w:val="28"/>
          <w:lang w:eastAsia="ru-RU"/>
        </w:rPr>
        <w:t>–</w:t>
      </w:r>
      <w:r w:rsidRPr="00920DCC">
        <w:rPr>
          <w:rFonts w:ascii="Times New Roman" w:eastAsia="Times New Roman" w:hAnsi="Times New Roman" w:cs="Times New Roman"/>
          <w:sz w:val="28"/>
          <w:szCs w:val="28"/>
          <w:lang w:eastAsia="ru-RU"/>
        </w:rPr>
        <w:t xml:space="preserve"> 2</w:t>
      </w:r>
      <w:r w:rsidR="00937F0A">
        <w:rPr>
          <w:rFonts w:ascii="Times New Roman" w:eastAsia="Times New Roman" w:hAnsi="Times New Roman" w:cs="Times New Roman"/>
          <w:sz w:val="28"/>
          <w:szCs w:val="28"/>
          <w:lang w:eastAsia="ru-RU"/>
        </w:rPr>
        <w:t> </w:t>
      </w:r>
      <w:r w:rsidRPr="00920DCC">
        <w:rPr>
          <w:rFonts w:ascii="Times New Roman" w:eastAsia="Times New Roman" w:hAnsi="Times New Roman" w:cs="Times New Roman"/>
          <w:sz w:val="28"/>
          <w:szCs w:val="28"/>
          <w:lang w:eastAsia="ru-RU"/>
        </w:rPr>
        <w:t>654</w:t>
      </w:r>
      <w:r w:rsidR="00937F0A">
        <w:rPr>
          <w:rFonts w:ascii="Times New Roman" w:eastAsia="Times New Roman" w:hAnsi="Times New Roman" w:cs="Times New Roman"/>
          <w:sz w:val="28"/>
          <w:szCs w:val="28"/>
          <w:lang w:eastAsia="ru-RU"/>
        </w:rPr>
        <w:t xml:space="preserve"> </w:t>
      </w:r>
      <w:r w:rsidRPr="00920DCC">
        <w:rPr>
          <w:rFonts w:ascii="Times New Roman" w:eastAsia="Times New Roman" w:hAnsi="Times New Roman" w:cs="Times New Roman"/>
          <w:sz w:val="28"/>
          <w:szCs w:val="28"/>
          <w:lang w:eastAsia="ru-RU"/>
        </w:rPr>
        <w:t xml:space="preserve">рабочих места),  малых предприятия </w:t>
      </w:r>
      <w:r w:rsidR="00937F0A">
        <w:rPr>
          <w:rFonts w:ascii="Times New Roman" w:eastAsia="Times New Roman" w:hAnsi="Times New Roman" w:cs="Times New Roman"/>
          <w:sz w:val="28"/>
          <w:szCs w:val="28"/>
          <w:lang w:eastAsia="ru-RU"/>
        </w:rPr>
        <w:t>–</w:t>
      </w:r>
      <w:r w:rsidRPr="00920DCC">
        <w:rPr>
          <w:rFonts w:ascii="Times New Roman" w:eastAsia="Times New Roman" w:hAnsi="Times New Roman" w:cs="Times New Roman"/>
          <w:sz w:val="28"/>
          <w:szCs w:val="28"/>
          <w:lang w:eastAsia="ru-RU"/>
        </w:rPr>
        <w:t xml:space="preserve"> 531 (2014 год </w:t>
      </w:r>
      <w:r w:rsidR="00937F0A">
        <w:rPr>
          <w:rFonts w:ascii="Times New Roman" w:eastAsia="Times New Roman" w:hAnsi="Times New Roman" w:cs="Times New Roman"/>
          <w:sz w:val="28"/>
          <w:szCs w:val="28"/>
          <w:lang w:eastAsia="ru-RU"/>
        </w:rPr>
        <w:t xml:space="preserve">– </w:t>
      </w:r>
      <w:r w:rsidRPr="00920DCC">
        <w:rPr>
          <w:rFonts w:ascii="Times New Roman" w:eastAsia="Times New Roman" w:hAnsi="Times New Roman" w:cs="Times New Roman"/>
          <w:sz w:val="28"/>
          <w:szCs w:val="28"/>
          <w:lang w:eastAsia="ru-RU"/>
        </w:rPr>
        <w:t>672).</w:t>
      </w:r>
    </w:p>
    <w:p w:rsidR="00920DCC" w:rsidRPr="00920DCC" w:rsidRDefault="00920DCC" w:rsidP="00920DCC">
      <w:pPr>
        <w:widowControl w:val="0"/>
        <w:spacing w:after="0" w:line="360" w:lineRule="auto"/>
        <w:ind w:firstLine="709"/>
        <w:jc w:val="both"/>
        <w:rPr>
          <w:rFonts w:ascii="Times New Roman" w:eastAsia="Times New Roman" w:hAnsi="Times New Roman" w:cs="Times New Roman"/>
          <w:sz w:val="28"/>
          <w:szCs w:val="28"/>
          <w:lang w:eastAsia="ru-RU"/>
        </w:rPr>
      </w:pPr>
      <w:r w:rsidRPr="00920DCC">
        <w:rPr>
          <w:rFonts w:ascii="Times New Roman" w:eastAsia="Times New Roman" w:hAnsi="Times New Roman" w:cs="Times New Roman"/>
          <w:sz w:val="28"/>
          <w:szCs w:val="28"/>
          <w:lang w:eastAsia="ru-RU"/>
        </w:rPr>
        <w:t>Динамика развития малого бизнеса за пять лет в округе свидетельствует о росте показателей, так:</w:t>
      </w:r>
    </w:p>
    <w:p w:rsidR="00920DCC" w:rsidRPr="00920DCC" w:rsidRDefault="00920DCC" w:rsidP="00920DCC">
      <w:pPr>
        <w:widowControl w:val="0"/>
        <w:spacing w:after="0" w:line="360" w:lineRule="auto"/>
        <w:ind w:firstLine="709"/>
        <w:jc w:val="both"/>
        <w:rPr>
          <w:rFonts w:ascii="Times New Roman" w:eastAsia="Times New Roman" w:hAnsi="Times New Roman" w:cs="Times New Roman"/>
          <w:sz w:val="28"/>
          <w:szCs w:val="28"/>
          <w:lang w:eastAsia="ru-RU"/>
        </w:rPr>
      </w:pPr>
      <w:r w:rsidRPr="00920DCC">
        <w:rPr>
          <w:rFonts w:ascii="Times New Roman" w:eastAsia="Times New Roman" w:hAnsi="Times New Roman" w:cs="Times New Roman"/>
          <w:sz w:val="28"/>
          <w:szCs w:val="28"/>
          <w:lang w:eastAsia="ru-RU"/>
        </w:rPr>
        <w:t>количество субъектов малого предпринимательства увеличилось на 2,2%;</w:t>
      </w:r>
    </w:p>
    <w:p w:rsidR="00920DCC" w:rsidRPr="00920DCC" w:rsidRDefault="00920DCC" w:rsidP="00920DCC">
      <w:pPr>
        <w:widowControl w:val="0"/>
        <w:spacing w:after="0" w:line="360" w:lineRule="auto"/>
        <w:ind w:firstLine="709"/>
        <w:jc w:val="both"/>
        <w:rPr>
          <w:rFonts w:ascii="Times New Roman" w:eastAsia="Times New Roman" w:hAnsi="Times New Roman" w:cs="Times New Roman"/>
          <w:sz w:val="28"/>
          <w:szCs w:val="28"/>
          <w:lang w:eastAsia="ru-RU"/>
        </w:rPr>
      </w:pPr>
      <w:r w:rsidRPr="00920DCC">
        <w:rPr>
          <w:rFonts w:ascii="Times New Roman" w:eastAsia="Times New Roman" w:hAnsi="Times New Roman" w:cs="Times New Roman"/>
          <w:sz w:val="28"/>
          <w:szCs w:val="28"/>
          <w:lang w:eastAsia="ru-RU"/>
        </w:rPr>
        <w:t xml:space="preserve">оборот продукции предприятий </w:t>
      </w:r>
      <w:r w:rsidR="00012C7C">
        <w:rPr>
          <w:rFonts w:ascii="Times New Roman" w:eastAsia="Times New Roman" w:hAnsi="Times New Roman" w:cs="Times New Roman"/>
          <w:sz w:val="28"/>
          <w:szCs w:val="28"/>
          <w:lang w:eastAsia="ru-RU"/>
        </w:rPr>
        <w:t>малого бизнеса</w:t>
      </w:r>
      <w:r w:rsidRPr="00920DCC">
        <w:rPr>
          <w:rFonts w:ascii="Times New Roman" w:eastAsia="Times New Roman" w:hAnsi="Times New Roman" w:cs="Times New Roman"/>
          <w:sz w:val="28"/>
          <w:szCs w:val="28"/>
          <w:lang w:eastAsia="ru-RU"/>
        </w:rPr>
        <w:t xml:space="preserve"> увеличился на 22,8%;</w:t>
      </w:r>
    </w:p>
    <w:p w:rsidR="00920DCC" w:rsidRPr="00920DCC" w:rsidRDefault="00920DCC" w:rsidP="00920DCC">
      <w:pPr>
        <w:widowControl w:val="0"/>
        <w:spacing w:after="0" w:line="360" w:lineRule="auto"/>
        <w:ind w:firstLine="709"/>
        <w:jc w:val="both"/>
        <w:rPr>
          <w:rFonts w:ascii="Times New Roman" w:eastAsia="Times New Roman" w:hAnsi="Times New Roman" w:cs="Times New Roman"/>
          <w:sz w:val="28"/>
          <w:szCs w:val="28"/>
          <w:lang w:eastAsia="ru-RU"/>
        </w:rPr>
      </w:pPr>
      <w:r w:rsidRPr="00920DCC">
        <w:rPr>
          <w:rFonts w:ascii="Times New Roman" w:eastAsia="Times New Roman" w:hAnsi="Times New Roman" w:cs="Times New Roman"/>
          <w:sz w:val="28"/>
          <w:szCs w:val="28"/>
          <w:lang w:eastAsia="ru-RU"/>
        </w:rPr>
        <w:t>налоговые поступления по специальным налоговым режимам возросли на 42,3%.</w:t>
      </w:r>
    </w:p>
    <w:p w:rsidR="00AE2227" w:rsidRPr="00AE2227" w:rsidRDefault="002771E6" w:rsidP="00AE2227">
      <w:pPr>
        <w:widowControl w:val="0"/>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На сегодняшний день п</w:t>
      </w:r>
      <w:r w:rsidR="00AE2227" w:rsidRPr="00AE2227">
        <w:rPr>
          <w:rFonts w:ascii="Times New Roman" w:eastAsia="Times New Roman" w:hAnsi="Times New Roman" w:cs="Times New Roman"/>
          <w:sz w:val="28"/>
          <w:szCs w:val="28"/>
          <w:lang w:eastAsia="ru-RU"/>
        </w:rPr>
        <w:t>еред нами стоит задача по расширению масштабов деятельности негосударственных организаций, в том числе социально ориентированных некоммерческих организаций (далее – СО НКО), оказывающих услуги в социальной сфере. Эта задача является межотраслевой и решается в Югре комплексно с привлечением представителей общественности, бизнеса, научного сообщества, органов власти и местного самоуправления.</w:t>
      </w:r>
    </w:p>
    <w:p w:rsidR="00AE2227" w:rsidRPr="00AE2227" w:rsidRDefault="00AE2227" w:rsidP="00AE2227">
      <w:pPr>
        <w:widowControl w:val="0"/>
        <w:spacing w:after="0" w:line="360" w:lineRule="auto"/>
        <w:ind w:firstLine="709"/>
        <w:jc w:val="both"/>
        <w:rPr>
          <w:rFonts w:ascii="Times New Roman" w:eastAsia="Times New Roman" w:hAnsi="Times New Roman" w:cs="Times New Roman"/>
          <w:sz w:val="28"/>
          <w:szCs w:val="28"/>
          <w:lang w:eastAsia="ru-RU"/>
        </w:rPr>
      </w:pPr>
      <w:proofErr w:type="gramStart"/>
      <w:r w:rsidRPr="00AE2227">
        <w:rPr>
          <w:rFonts w:ascii="Times New Roman" w:eastAsia="Times New Roman" w:hAnsi="Times New Roman" w:cs="Times New Roman"/>
          <w:sz w:val="28"/>
          <w:szCs w:val="28"/>
          <w:lang w:eastAsia="ru-RU"/>
        </w:rPr>
        <w:t xml:space="preserve">По состоянию на 1 января 2016 года в автономном округе действует 2 034 некоммерческих общественных организации, из них 1 858 – социально ориентированные. </w:t>
      </w:r>
      <w:proofErr w:type="gramEnd"/>
    </w:p>
    <w:p w:rsidR="00AE2227" w:rsidRPr="002771E6" w:rsidRDefault="00AE2227" w:rsidP="002771E6">
      <w:pPr>
        <w:widowControl w:val="0"/>
        <w:spacing w:after="0" w:line="360" w:lineRule="auto"/>
        <w:ind w:firstLine="709"/>
        <w:jc w:val="both"/>
        <w:rPr>
          <w:rFonts w:ascii="Times New Roman" w:eastAsia="Times New Roman" w:hAnsi="Times New Roman" w:cs="Times New Roman"/>
          <w:sz w:val="28"/>
          <w:szCs w:val="28"/>
          <w:lang w:eastAsia="ru-RU"/>
        </w:rPr>
      </w:pPr>
      <w:proofErr w:type="gramStart"/>
      <w:r w:rsidRPr="002771E6">
        <w:rPr>
          <w:rFonts w:ascii="Times New Roman" w:eastAsia="Times New Roman" w:hAnsi="Times New Roman" w:cs="Times New Roman"/>
          <w:sz w:val="28"/>
          <w:szCs w:val="28"/>
          <w:lang w:eastAsia="ru-RU"/>
        </w:rPr>
        <w:lastRenderedPageBreak/>
        <w:t>Во исполнение Посланий Президента Российской Федерации Федеральному собранию Российской Федерации от 3 декабря 2015 года и от 1 декабря 2016 года, а также перечня поручений по реализации ежегодного обращения Губернатора Югры (9 декабря 2015 года) в части максимального вовлечения некоммерческих организаций (далее – НКО, СО НКО) в оказание услуг в социальной сфере и поэтапного доведения доли НКО на рынке социальных услуг</w:t>
      </w:r>
      <w:proofErr w:type="gramEnd"/>
      <w:r w:rsidRPr="002771E6">
        <w:rPr>
          <w:rFonts w:ascii="Times New Roman" w:eastAsia="Times New Roman" w:hAnsi="Times New Roman" w:cs="Times New Roman"/>
          <w:sz w:val="28"/>
          <w:szCs w:val="28"/>
          <w:lang w:eastAsia="ru-RU"/>
        </w:rPr>
        <w:t xml:space="preserve"> до 15 %, в Югре сформирована система правовых актов, позволяющая обеспечить наиболее благоприятные условия развития негосударственных организаций в социальной сфере, в том числе НКО и их всестороннюю поддержку.</w:t>
      </w:r>
    </w:p>
    <w:p w:rsidR="00AE2227" w:rsidRPr="002771E6" w:rsidRDefault="00AE2227" w:rsidP="002771E6">
      <w:pPr>
        <w:widowControl w:val="0"/>
        <w:spacing w:after="0" w:line="360" w:lineRule="auto"/>
        <w:ind w:firstLine="709"/>
        <w:jc w:val="both"/>
        <w:rPr>
          <w:rFonts w:ascii="Times New Roman" w:eastAsia="Times New Roman" w:hAnsi="Times New Roman" w:cs="Times New Roman"/>
          <w:sz w:val="28"/>
          <w:szCs w:val="28"/>
          <w:lang w:eastAsia="ru-RU"/>
        </w:rPr>
      </w:pPr>
      <w:proofErr w:type="gramStart"/>
      <w:r w:rsidRPr="002771E6">
        <w:rPr>
          <w:rFonts w:ascii="Times New Roman" w:eastAsia="Times New Roman" w:hAnsi="Times New Roman" w:cs="Times New Roman"/>
          <w:sz w:val="28"/>
          <w:szCs w:val="28"/>
          <w:lang w:eastAsia="ru-RU"/>
        </w:rPr>
        <w:t>Внесены изменения в Закон Ханты-Мансийского автономного округа – Югры от 16.12.2010 № 229-оз «О поддержке региональных социально ориентированных некоммерческих организаций, осуществляющих деятельность в Ханты-Мансийском автономном округе – Югре»</w:t>
      </w:r>
      <w:r w:rsidR="001D5548">
        <w:rPr>
          <w:rStyle w:val="aa"/>
          <w:rFonts w:ascii="Times New Roman" w:eastAsia="Times New Roman" w:hAnsi="Times New Roman" w:cs="Times New Roman"/>
          <w:sz w:val="28"/>
          <w:szCs w:val="28"/>
          <w:lang w:eastAsia="ru-RU"/>
        </w:rPr>
        <w:footnoteReference w:customMarkFollows="1" w:id="4"/>
        <w:t>4</w:t>
      </w:r>
      <w:r w:rsidR="001D5548">
        <w:rPr>
          <w:rFonts w:ascii="Times New Roman" w:eastAsia="Times New Roman" w:hAnsi="Times New Roman" w:cs="Times New Roman"/>
          <w:sz w:val="28"/>
          <w:szCs w:val="28"/>
          <w:lang w:eastAsia="ru-RU"/>
        </w:rPr>
        <w:t xml:space="preserve"> </w:t>
      </w:r>
      <w:r w:rsidRPr="002771E6">
        <w:rPr>
          <w:rFonts w:ascii="Times New Roman" w:eastAsia="Times New Roman" w:hAnsi="Times New Roman" w:cs="Times New Roman"/>
          <w:sz w:val="28"/>
          <w:szCs w:val="28"/>
          <w:lang w:eastAsia="ru-RU"/>
        </w:rPr>
        <w:t>в части расширения видов деятельности СО НКО, при осуществлении которых оказывается государственная поддержка, а также установления приоритетного права на получение мер поддержки СО НКО, обладающим статусом НКО – исполнителя общественно полезных услуг.</w:t>
      </w:r>
      <w:proofErr w:type="gramEnd"/>
    </w:p>
    <w:p w:rsidR="00AE2227" w:rsidRPr="002771E6" w:rsidRDefault="00AE2227" w:rsidP="002771E6">
      <w:pPr>
        <w:widowControl w:val="0"/>
        <w:spacing w:after="0" w:line="360" w:lineRule="auto"/>
        <w:ind w:firstLine="709"/>
        <w:jc w:val="both"/>
        <w:rPr>
          <w:rFonts w:ascii="Times New Roman" w:eastAsia="Times New Roman" w:hAnsi="Times New Roman" w:cs="Times New Roman"/>
          <w:sz w:val="28"/>
          <w:szCs w:val="28"/>
          <w:lang w:eastAsia="ru-RU"/>
        </w:rPr>
      </w:pPr>
      <w:r w:rsidRPr="002771E6">
        <w:rPr>
          <w:rFonts w:ascii="Times New Roman" w:eastAsia="Times New Roman" w:hAnsi="Times New Roman" w:cs="Times New Roman"/>
          <w:sz w:val="28"/>
          <w:szCs w:val="28"/>
          <w:lang w:eastAsia="ru-RU"/>
        </w:rPr>
        <w:t>Определен порядок выплаты компенсации поставщикам социальных услуг, включенным в реестр поставщиков социальных услуг автономного округа, но не участвующим в выполнении государственного задания (заказа), за предоставленные социальные услуги получателям социальных услуг.</w:t>
      </w:r>
    </w:p>
    <w:p w:rsidR="00AE2227" w:rsidRPr="002771E6" w:rsidRDefault="00AE2227" w:rsidP="002771E6">
      <w:pPr>
        <w:widowControl w:val="0"/>
        <w:spacing w:after="0" w:line="360" w:lineRule="auto"/>
        <w:ind w:firstLine="709"/>
        <w:jc w:val="both"/>
        <w:rPr>
          <w:rFonts w:ascii="Times New Roman" w:eastAsia="Times New Roman" w:hAnsi="Times New Roman" w:cs="Times New Roman"/>
          <w:sz w:val="28"/>
          <w:szCs w:val="28"/>
          <w:lang w:eastAsia="ru-RU"/>
        </w:rPr>
      </w:pPr>
      <w:r w:rsidRPr="002771E6">
        <w:rPr>
          <w:rFonts w:ascii="Times New Roman" w:eastAsia="Times New Roman" w:hAnsi="Times New Roman" w:cs="Times New Roman"/>
          <w:sz w:val="28"/>
          <w:szCs w:val="28"/>
          <w:lang w:eastAsia="ru-RU"/>
        </w:rPr>
        <w:t xml:space="preserve">Утверждены тарифы на социальные услуги на основании </w:t>
      </w:r>
      <w:proofErr w:type="spellStart"/>
      <w:r w:rsidRPr="002771E6">
        <w:rPr>
          <w:rFonts w:ascii="Times New Roman" w:eastAsia="Times New Roman" w:hAnsi="Times New Roman" w:cs="Times New Roman"/>
          <w:sz w:val="28"/>
          <w:szCs w:val="28"/>
          <w:lang w:eastAsia="ru-RU"/>
        </w:rPr>
        <w:t>подушевых</w:t>
      </w:r>
      <w:proofErr w:type="spellEnd"/>
      <w:r w:rsidRPr="002771E6">
        <w:rPr>
          <w:rFonts w:ascii="Times New Roman" w:eastAsia="Times New Roman" w:hAnsi="Times New Roman" w:cs="Times New Roman"/>
          <w:sz w:val="28"/>
          <w:szCs w:val="28"/>
          <w:lang w:eastAsia="ru-RU"/>
        </w:rPr>
        <w:t xml:space="preserve"> нормативов финансирования социальных услуг.</w:t>
      </w:r>
    </w:p>
    <w:p w:rsidR="00AE2227" w:rsidRPr="002771E6" w:rsidRDefault="00AE2227" w:rsidP="002771E6">
      <w:pPr>
        <w:widowControl w:val="0"/>
        <w:spacing w:after="0" w:line="360" w:lineRule="auto"/>
        <w:ind w:firstLine="709"/>
        <w:jc w:val="both"/>
        <w:rPr>
          <w:rFonts w:ascii="Times New Roman" w:eastAsia="Times New Roman" w:hAnsi="Times New Roman" w:cs="Times New Roman"/>
          <w:sz w:val="28"/>
          <w:szCs w:val="28"/>
          <w:lang w:eastAsia="ru-RU"/>
        </w:rPr>
      </w:pPr>
      <w:r w:rsidRPr="002771E6">
        <w:rPr>
          <w:rFonts w:ascii="Times New Roman" w:eastAsia="Times New Roman" w:hAnsi="Times New Roman" w:cs="Times New Roman"/>
          <w:sz w:val="28"/>
          <w:szCs w:val="28"/>
          <w:lang w:eastAsia="ru-RU"/>
        </w:rPr>
        <w:t xml:space="preserve">Утвержден план мероприятий («дорожная карта») по поддержке доступа негосударственных организаций (коммерческих, некоммерческих) </w:t>
      </w:r>
      <w:r w:rsidRPr="002771E6">
        <w:rPr>
          <w:rFonts w:ascii="Times New Roman" w:eastAsia="Times New Roman" w:hAnsi="Times New Roman" w:cs="Times New Roman"/>
          <w:sz w:val="28"/>
          <w:szCs w:val="28"/>
          <w:lang w:eastAsia="ru-RU"/>
        </w:rPr>
        <w:lastRenderedPageBreak/>
        <w:t>к предоставлению услуг в социальной сфере на 2016–2020 годы</w:t>
      </w:r>
      <w:r w:rsidR="001D5548">
        <w:rPr>
          <w:rStyle w:val="aa"/>
          <w:rFonts w:ascii="Times New Roman" w:eastAsia="Times New Roman" w:hAnsi="Times New Roman" w:cs="Times New Roman"/>
          <w:sz w:val="28"/>
          <w:szCs w:val="28"/>
          <w:lang w:eastAsia="ru-RU"/>
        </w:rPr>
        <w:footnoteReference w:customMarkFollows="1" w:id="5"/>
        <w:t>5</w:t>
      </w:r>
      <w:r w:rsidRPr="002771E6">
        <w:rPr>
          <w:rFonts w:ascii="Times New Roman" w:eastAsia="Times New Roman" w:hAnsi="Times New Roman" w:cs="Times New Roman"/>
          <w:sz w:val="28"/>
          <w:szCs w:val="28"/>
          <w:lang w:eastAsia="ru-RU"/>
        </w:rPr>
        <w:t>, реализация которого позволит повысить качество и доступность услуг в социальной сфере через расширение участия негосударственных организаций в предоставлении социальных услуг гражданам.</w:t>
      </w:r>
    </w:p>
    <w:p w:rsidR="00AE2227" w:rsidRPr="002771E6" w:rsidRDefault="00AE2227" w:rsidP="002771E6">
      <w:pPr>
        <w:widowControl w:val="0"/>
        <w:spacing w:after="0" w:line="360" w:lineRule="auto"/>
        <w:ind w:firstLine="709"/>
        <w:jc w:val="both"/>
        <w:rPr>
          <w:rFonts w:ascii="Times New Roman" w:eastAsia="Times New Roman" w:hAnsi="Times New Roman" w:cs="Times New Roman"/>
          <w:sz w:val="28"/>
          <w:szCs w:val="28"/>
          <w:lang w:eastAsia="ru-RU"/>
        </w:rPr>
      </w:pPr>
      <w:r w:rsidRPr="002771E6">
        <w:rPr>
          <w:rFonts w:ascii="Times New Roman" w:eastAsia="Times New Roman" w:hAnsi="Times New Roman" w:cs="Times New Roman"/>
          <w:sz w:val="28"/>
          <w:szCs w:val="28"/>
          <w:lang w:eastAsia="ru-RU"/>
        </w:rPr>
        <w:t xml:space="preserve">Департамент экономического развития Югры определен </w:t>
      </w:r>
      <w:proofErr w:type="gramStart"/>
      <w:r w:rsidRPr="002771E6">
        <w:rPr>
          <w:rFonts w:ascii="Times New Roman" w:eastAsia="Times New Roman" w:hAnsi="Times New Roman" w:cs="Times New Roman"/>
          <w:sz w:val="28"/>
          <w:szCs w:val="28"/>
          <w:lang w:eastAsia="ru-RU"/>
        </w:rPr>
        <w:t>ответственным</w:t>
      </w:r>
      <w:proofErr w:type="gramEnd"/>
      <w:r w:rsidRPr="002771E6">
        <w:rPr>
          <w:rFonts w:ascii="Times New Roman" w:eastAsia="Times New Roman" w:hAnsi="Times New Roman" w:cs="Times New Roman"/>
          <w:sz w:val="28"/>
          <w:szCs w:val="28"/>
          <w:lang w:eastAsia="ru-RU"/>
        </w:rPr>
        <w:t xml:space="preserve"> за реализацию «дорожной карты».</w:t>
      </w:r>
    </w:p>
    <w:p w:rsidR="00AE2227" w:rsidRPr="002771E6" w:rsidRDefault="00AE2227" w:rsidP="002771E6">
      <w:pPr>
        <w:widowControl w:val="0"/>
        <w:spacing w:after="0" w:line="360" w:lineRule="auto"/>
        <w:ind w:firstLine="709"/>
        <w:jc w:val="both"/>
        <w:rPr>
          <w:rFonts w:ascii="Times New Roman" w:eastAsia="Times New Roman" w:hAnsi="Times New Roman" w:cs="Times New Roman"/>
          <w:sz w:val="28"/>
          <w:szCs w:val="28"/>
          <w:lang w:eastAsia="ru-RU"/>
        </w:rPr>
      </w:pPr>
      <w:r w:rsidRPr="002771E6">
        <w:rPr>
          <w:rFonts w:ascii="Times New Roman" w:eastAsia="Times New Roman" w:hAnsi="Times New Roman" w:cs="Times New Roman"/>
          <w:sz w:val="28"/>
          <w:szCs w:val="28"/>
          <w:lang w:eastAsia="ru-RU"/>
        </w:rPr>
        <w:t>Правительством Югры принято решение о создании некоммерческой организации Фонда «Центр гражданских и социальных инициатив Югры»</w:t>
      </w:r>
      <w:r w:rsidRPr="00D03D8D">
        <w:rPr>
          <w:rFonts w:ascii="Times New Roman" w:hAnsi="Times New Roman"/>
          <w:sz w:val="28"/>
          <w:szCs w:val="28"/>
          <w:vertAlign w:val="superscript"/>
        </w:rPr>
        <w:footnoteReference w:id="6"/>
      </w:r>
      <w:r w:rsidRPr="002771E6">
        <w:rPr>
          <w:rFonts w:ascii="Times New Roman" w:eastAsia="Times New Roman" w:hAnsi="Times New Roman" w:cs="Times New Roman"/>
          <w:sz w:val="28"/>
          <w:szCs w:val="28"/>
          <w:lang w:eastAsia="ru-RU"/>
        </w:rPr>
        <w:t>, деятельность которого будет направлена на оказание имущественной, финансовой, информационной, образовательной поддержки негосударственным организациям, в том числе СО НКО, изучение и распространение положительного опыта развития в других субъектах Российской Федерации и за рубежом.</w:t>
      </w:r>
    </w:p>
    <w:p w:rsidR="00AE2227" w:rsidRPr="002771E6" w:rsidRDefault="00AE2227" w:rsidP="002771E6">
      <w:pPr>
        <w:widowControl w:val="0"/>
        <w:spacing w:after="0" w:line="360" w:lineRule="auto"/>
        <w:ind w:firstLine="709"/>
        <w:jc w:val="both"/>
        <w:rPr>
          <w:rFonts w:ascii="Times New Roman" w:eastAsia="Times New Roman" w:hAnsi="Times New Roman" w:cs="Times New Roman"/>
          <w:sz w:val="28"/>
          <w:szCs w:val="28"/>
          <w:lang w:eastAsia="ru-RU"/>
        </w:rPr>
      </w:pPr>
      <w:r w:rsidRPr="002771E6">
        <w:rPr>
          <w:rFonts w:ascii="Times New Roman" w:eastAsia="Times New Roman" w:hAnsi="Times New Roman" w:cs="Times New Roman"/>
          <w:sz w:val="28"/>
          <w:szCs w:val="28"/>
          <w:lang w:eastAsia="ru-RU"/>
        </w:rPr>
        <w:t>В 2016 году Югра вошла в число 16 регионов России, принявших решение о реализации пилотного проекта по обеспечению доступа негосударственных организаций к предоставлению услуг в социальной сфере.</w:t>
      </w:r>
    </w:p>
    <w:p w:rsidR="00AE2227" w:rsidRPr="002771E6" w:rsidRDefault="00AE2227" w:rsidP="002771E6">
      <w:pPr>
        <w:widowControl w:val="0"/>
        <w:spacing w:after="0" w:line="360" w:lineRule="auto"/>
        <w:ind w:firstLine="709"/>
        <w:jc w:val="both"/>
        <w:rPr>
          <w:rFonts w:ascii="Times New Roman" w:eastAsia="Times New Roman" w:hAnsi="Times New Roman" w:cs="Times New Roman"/>
          <w:sz w:val="28"/>
          <w:szCs w:val="28"/>
          <w:lang w:eastAsia="ru-RU"/>
        </w:rPr>
      </w:pPr>
      <w:r w:rsidRPr="002771E6">
        <w:rPr>
          <w:rFonts w:ascii="Times New Roman" w:eastAsia="Times New Roman" w:hAnsi="Times New Roman" w:cs="Times New Roman"/>
          <w:sz w:val="28"/>
          <w:szCs w:val="28"/>
          <w:lang w:eastAsia="ru-RU"/>
        </w:rPr>
        <w:t xml:space="preserve">В настоящее время в реестре поставщиков социальных услуг состоят 130 поставщиков, из них 77 негосударственных организации. Стоит отметить, что </w:t>
      </w:r>
      <w:proofErr w:type="gramStart"/>
      <w:r w:rsidRPr="002771E6">
        <w:rPr>
          <w:rFonts w:ascii="Times New Roman" w:eastAsia="Times New Roman" w:hAnsi="Times New Roman" w:cs="Times New Roman"/>
          <w:sz w:val="28"/>
          <w:szCs w:val="28"/>
          <w:lang w:eastAsia="ru-RU"/>
        </w:rPr>
        <w:t>на конец</w:t>
      </w:r>
      <w:proofErr w:type="gramEnd"/>
      <w:r w:rsidRPr="002771E6">
        <w:rPr>
          <w:rFonts w:ascii="Times New Roman" w:eastAsia="Times New Roman" w:hAnsi="Times New Roman" w:cs="Times New Roman"/>
          <w:sz w:val="28"/>
          <w:szCs w:val="28"/>
          <w:lang w:eastAsia="ru-RU"/>
        </w:rPr>
        <w:t xml:space="preserve"> 2015 года в реестре состояло только 16 негосударственных организаций.</w:t>
      </w:r>
    </w:p>
    <w:p w:rsidR="00AE2227" w:rsidRPr="002771E6" w:rsidRDefault="00AE2227" w:rsidP="002771E6">
      <w:pPr>
        <w:widowControl w:val="0"/>
        <w:spacing w:after="0" w:line="360" w:lineRule="auto"/>
        <w:ind w:firstLine="709"/>
        <w:jc w:val="both"/>
        <w:rPr>
          <w:rFonts w:ascii="Times New Roman" w:eastAsia="Times New Roman" w:hAnsi="Times New Roman" w:cs="Times New Roman"/>
          <w:sz w:val="28"/>
          <w:szCs w:val="28"/>
          <w:lang w:eastAsia="ru-RU"/>
        </w:rPr>
      </w:pPr>
      <w:r w:rsidRPr="002771E6">
        <w:rPr>
          <w:rFonts w:ascii="Times New Roman" w:eastAsia="Times New Roman" w:hAnsi="Times New Roman" w:cs="Times New Roman"/>
          <w:sz w:val="28"/>
          <w:szCs w:val="28"/>
          <w:lang w:eastAsia="ru-RU"/>
        </w:rPr>
        <w:t>Исходя из принятых Правительством автономного округа решений, негосударственные организации – поставщики услуг в социальной сфере уже сейчас:</w:t>
      </w:r>
    </w:p>
    <w:p w:rsidR="00AE2227" w:rsidRPr="002771E6" w:rsidRDefault="00AE2227" w:rsidP="002771E6">
      <w:pPr>
        <w:widowControl w:val="0"/>
        <w:spacing w:after="0" w:line="360" w:lineRule="auto"/>
        <w:ind w:firstLine="709"/>
        <w:jc w:val="both"/>
        <w:rPr>
          <w:rFonts w:ascii="Times New Roman" w:eastAsia="Times New Roman" w:hAnsi="Times New Roman" w:cs="Times New Roman"/>
          <w:sz w:val="28"/>
          <w:szCs w:val="28"/>
          <w:lang w:eastAsia="ru-RU"/>
        </w:rPr>
      </w:pPr>
      <w:r w:rsidRPr="002771E6">
        <w:rPr>
          <w:rFonts w:ascii="Times New Roman" w:eastAsia="Times New Roman" w:hAnsi="Times New Roman" w:cs="Times New Roman"/>
          <w:sz w:val="28"/>
          <w:szCs w:val="28"/>
          <w:lang w:eastAsia="ru-RU"/>
        </w:rPr>
        <w:t>имеют возможность получить компенсацию затрат за оказанные гражданам услуги;</w:t>
      </w:r>
    </w:p>
    <w:p w:rsidR="00AE2227" w:rsidRPr="002771E6" w:rsidRDefault="00AE2227" w:rsidP="002771E6">
      <w:pPr>
        <w:widowControl w:val="0"/>
        <w:spacing w:after="0" w:line="360" w:lineRule="auto"/>
        <w:ind w:firstLine="709"/>
        <w:jc w:val="both"/>
        <w:rPr>
          <w:rFonts w:ascii="Times New Roman" w:eastAsia="Times New Roman" w:hAnsi="Times New Roman" w:cs="Times New Roman"/>
          <w:sz w:val="28"/>
          <w:szCs w:val="28"/>
          <w:lang w:eastAsia="ru-RU"/>
        </w:rPr>
      </w:pPr>
      <w:r w:rsidRPr="002771E6">
        <w:rPr>
          <w:rFonts w:ascii="Times New Roman" w:eastAsia="Times New Roman" w:hAnsi="Times New Roman" w:cs="Times New Roman"/>
          <w:sz w:val="28"/>
          <w:szCs w:val="28"/>
          <w:lang w:eastAsia="ru-RU"/>
        </w:rPr>
        <w:t>участвуют в государственном (муниципальном) заказе на выполнение работ и оказание услуг;</w:t>
      </w:r>
    </w:p>
    <w:p w:rsidR="00AE2227" w:rsidRPr="002771E6" w:rsidRDefault="00AE2227" w:rsidP="002771E6">
      <w:pPr>
        <w:widowControl w:val="0"/>
        <w:spacing w:after="0" w:line="360" w:lineRule="auto"/>
        <w:ind w:firstLine="709"/>
        <w:jc w:val="both"/>
        <w:rPr>
          <w:rFonts w:ascii="Times New Roman" w:eastAsia="Times New Roman" w:hAnsi="Times New Roman" w:cs="Times New Roman"/>
          <w:sz w:val="28"/>
          <w:szCs w:val="28"/>
          <w:lang w:eastAsia="ru-RU"/>
        </w:rPr>
      </w:pPr>
      <w:r w:rsidRPr="002771E6">
        <w:rPr>
          <w:rFonts w:ascii="Times New Roman" w:eastAsia="Times New Roman" w:hAnsi="Times New Roman" w:cs="Times New Roman"/>
          <w:sz w:val="28"/>
          <w:szCs w:val="28"/>
          <w:lang w:eastAsia="ru-RU"/>
        </w:rPr>
        <w:lastRenderedPageBreak/>
        <w:t>используют сертификат на оплату за оказанные услуги, которые предоставляются гражданам.</w:t>
      </w:r>
    </w:p>
    <w:p w:rsidR="00AE2227" w:rsidRPr="002771E6" w:rsidRDefault="00AE2227" w:rsidP="002771E6">
      <w:pPr>
        <w:widowControl w:val="0"/>
        <w:spacing w:after="0" w:line="360" w:lineRule="auto"/>
        <w:ind w:firstLine="709"/>
        <w:jc w:val="both"/>
        <w:rPr>
          <w:rFonts w:ascii="Times New Roman" w:eastAsia="Times New Roman" w:hAnsi="Times New Roman" w:cs="Times New Roman"/>
          <w:sz w:val="28"/>
          <w:szCs w:val="28"/>
          <w:lang w:eastAsia="ru-RU"/>
        </w:rPr>
      </w:pPr>
      <w:r w:rsidRPr="002771E6">
        <w:rPr>
          <w:rFonts w:ascii="Times New Roman" w:eastAsia="Times New Roman" w:hAnsi="Times New Roman" w:cs="Times New Roman"/>
          <w:sz w:val="28"/>
          <w:szCs w:val="28"/>
          <w:lang w:eastAsia="ru-RU"/>
        </w:rPr>
        <w:t>Взаимодействие органов власти, поставщиков услуг и населения включает в себя масштабную информационную поддержку. В общественных советах при Губернаторе автономного округа и Правительстве Югры работают 133 представителя СО НКО, в общественных советах при государственных органах исполнительной власти автономного округа - 140 представителей СО НКО, в общественных советах при органах местного самоуправления муниципальных образований автономного округа - 567 представителей СО НКО.</w:t>
      </w:r>
    </w:p>
    <w:p w:rsidR="00AE2227" w:rsidRPr="002771E6" w:rsidRDefault="00AE2227" w:rsidP="002771E6">
      <w:pPr>
        <w:widowControl w:val="0"/>
        <w:spacing w:after="0" w:line="360" w:lineRule="auto"/>
        <w:ind w:firstLine="709"/>
        <w:jc w:val="both"/>
        <w:rPr>
          <w:rFonts w:ascii="Times New Roman" w:eastAsia="Times New Roman" w:hAnsi="Times New Roman" w:cs="Times New Roman"/>
          <w:sz w:val="28"/>
          <w:szCs w:val="28"/>
          <w:lang w:eastAsia="ru-RU"/>
        </w:rPr>
      </w:pPr>
      <w:r w:rsidRPr="002771E6">
        <w:rPr>
          <w:rFonts w:ascii="Times New Roman" w:eastAsia="Times New Roman" w:hAnsi="Times New Roman" w:cs="Times New Roman"/>
          <w:sz w:val="28"/>
          <w:szCs w:val="28"/>
          <w:lang w:eastAsia="ru-RU"/>
        </w:rPr>
        <w:t>В Стратегии развития малого и среднего предпринимательства в Российской Федерации на период  до 2030 года</w:t>
      </w:r>
      <w:r w:rsidR="001D5548">
        <w:rPr>
          <w:rStyle w:val="aa"/>
          <w:rFonts w:ascii="Times New Roman" w:eastAsia="Times New Roman" w:hAnsi="Times New Roman" w:cs="Times New Roman"/>
          <w:sz w:val="28"/>
          <w:szCs w:val="28"/>
          <w:lang w:eastAsia="ru-RU"/>
        </w:rPr>
        <w:footnoteReference w:customMarkFollows="1" w:id="7"/>
        <w:t>6</w:t>
      </w:r>
      <w:r w:rsidRPr="002771E6">
        <w:rPr>
          <w:rFonts w:ascii="Times New Roman" w:eastAsia="Times New Roman" w:hAnsi="Times New Roman" w:cs="Times New Roman"/>
          <w:sz w:val="28"/>
          <w:szCs w:val="28"/>
          <w:lang w:eastAsia="ru-RU"/>
        </w:rPr>
        <w:t xml:space="preserve"> (далее - Стратегия), </w:t>
      </w:r>
      <w:bookmarkStart w:id="0" w:name="_GoBack"/>
      <w:bookmarkEnd w:id="0"/>
      <w:r w:rsidRPr="002771E6">
        <w:rPr>
          <w:rFonts w:ascii="Times New Roman" w:eastAsia="Times New Roman" w:hAnsi="Times New Roman" w:cs="Times New Roman"/>
          <w:sz w:val="28"/>
          <w:szCs w:val="28"/>
          <w:lang w:eastAsia="ru-RU"/>
        </w:rPr>
        <w:t xml:space="preserve">поддержка и развитие социального предпринимательства является приоритетным направлением государственной политики. </w:t>
      </w:r>
    </w:p>
    <w:p w:rsidR="00AE2227" w:rsidRPr="002771E6" w:rsidRDefault="00AE2227" w:rsidP="002771E6">
      <w:pPr>
        <w:widowControl w:val="0"/>
        <w:spacing w:after="0" w:line="360" w:lineRule="auto"/>
        <w:ind w:firstLine="709"/>
        <w:jc w:val="both"/>
        <w:rPr>
          <w:rFonts w:ascii="Times New Roman" w:eastAsia="Times New Roman" w:hAnsi="Times New Roman" w:cs="Times New Roman"/>
          <w:sz w:val="28"/>
          <w:szCs w:val="28"/>
          <w:lang w:eastAsia="ru-RU"/>
        </w:rPr>
      </w:pPr>
      <w:r w:rsidRPr="002771E6">
        <w:rPr>
          <w:rFonts w:ascii="Times New Roman" w:eastAsia="Times New Roman" w:hAnsi="Times New Roman" w:cs="Times New Roman"/>
          <w:sz w:val="28"/>
          <w:szCs w:val="28"/>
          <w:lang w:eastAsia="ru-RU"/>
        </w:rPr>
        <w:t>В автономном округе по итогам 2015 года осуществляет деятельность в сфере оказания социальных услуг 848 субъектов малого и среднего предпринимательства, в сравнении с 2014 годом этот показатель увеличился на 17,1%. Доля предпринимателей социальной сферы от общее количества субъектов малого и среднего предпринимательства в автономном округе составляет 1,14%.</w:t>
      </w:r>
    </w:p>
    <w:p w:rsidR="00AE2227" w:rsidRPr="002771E6" w:rsidRDefault="00AE2227" w:rsidP="002771E6">
      <w:pPr>
        <w:widowControl w:val="0"/>
        <w:spacing w:after="0" w:line="360" w:lineRule="auto"/>
        <w:ind w:firstLine="709"/>
        <w:jc w:val="both"/>
        <w:rPr>
          <w:rFonts w:ascii="Times New Roman" w:eastAsia="Times New Roman" w:hAnsi="Times New Roman" w:cs="Times New Roman"/>
          <w:sz w:val="28"/>
          <w:szCs w:val="28"/>
          <w:lang w:eastAsia="ru-RU"/>
        </w:rPr>
      </w:pPr>
      <w:r w:rsidRPr="002771E6">
        <w:rPr>
          <w:rFonts w:ascii="Times New Roman" w:eastAsia="Times New Roman" w:hAnsi="Times New Roman" w:cs="Times New Roman"/>
          <w:sz w:val="28"/>
          <w:szCs w:val="28"/>
          <w:lang w:eastAsia="ru-RU"/>
        </w:rPr>
        <w:t>Заключены соглашения о сотрудничестве между Правительством Югры и Ассоциацией социального развития, АНО «Агентство социальной информации», направленные на сотрудничество по оказанию содействия в развитии социального предпринимательства, социальных инноваций и информационных технологий, развитие и популяризацию деятельности СО НКО.</w:t>
      </w:r>
    </w:p>
    <w:p w:rsidR="00AE2227" w:rsidRPr="002771E6" w:rsidRDefault="00AE2227" w:rsidP="002771E6">
      <w:pPr>
        <w:widowControl w:val="0"/>
        <w:spacing w:after="0" w:line="360" w:lineRule="auto"/>
        <w:ind w:firstLine="709"/>
        <w:jc w:val="both"/>
        <w:rPr>
          <w:rFonts w:ascii="Times New Roman" w:eastAsia="Times New Roman" w:hAnsi="Times New Roman" w:cs="Times New Roman"/>
          <w:sz w:val="28"/>
          <w:szCs w:val="28"/>
          <w:lang w:eastAsia="ru-RU"/>
        </w:rPr>
      </w:pPr>
      <w:r w:rsidRPr="002771E6">
        <w:rPr>
          <w:rFonts w:ascii="Times New Roman" w:eastAsia="Times New Roman" w:hAnsi="Times New Roman" w:cs="Times New Roman"/>
          <w:sz w:val="28"/>
          <w:szCs w:val="28"/>
          <w:lang w:eastAsia="ru-RU"/>
        </w:rPr>
        <w:t xml:space="preserve">В апреле 2016 года Губернатор Югры Н.В. Комарова и учредитель фонда «Наше будущее», глава нефтяной компании «Лукойл» В. Алекперов </w:t>
      </w:r>
      <w:r w:rsidRPr="002771E6">
        <w:rPr>
          <w:rFonts w:ascii="Times New Roman" w:eastAsia="Times New Roman" w:hAnsi="Times New Roman" w:cs="Times New Roman"/>
          <w:sz w:val="28"/>
          <w:szCs w:val="28"/>
          <w:lang w:eastAsia="ru-RU"/>
        </w:rPr>
        <w:lastRenderedPageBreak/>
        <w:t>подписали в Москве соглашение, которое предусматривает совместную работу по развитию в регионе социального предпринимательства. По словам В. Алекперова, «Ханты-Мансийский округ - один из тех «пионеров», который поддержал инициативу фонда по развитию социального предпринимательства, прочувствовав  всю важность этого направления бизнеса, а Правительство округа создало условия для его активного развития. Соглашение делает ещё один шаг в развитии отношений». Губернатор Югры, в свою очередь отметила, что в конечном итоге документ будет способствовать росту экономического потенциала и инвестиционной привлекательности Югры.</w:t>
      </w:r>
    </w:p>
    <w:p w:rsidR="00AE2227" w:rsidRPr="002771E6" w:rsidRDefault="00AE2227" w:rsidP="002771E6">
      <w:pPr>
        <w:widowControl w:val="0"/>
        <w:spacing w:after="0" w:line="360" w:lineRule="auto"/>
        <w:ind w:firstLine="709"/>
        <w:jc w:val="both"/>
        <w:rPr>
          <w:rFonts w:ascii="Times New Roman" w:eastAsia="Times New Roman" w:hAnsi="Times New Roman" w:cs="Times New Roman"/>
          <w:sz w:val="28"/>
          <w:szCs w:val="28"/>
          <w:lang w:eastAsia="ru-RU"/>
        </w:rPr>
      </w:pPr>
      <w:r w:rsidRPr="002771E6">
        <w:rPr>
          <w:rFonts w:ascii="Times New Roman" w:eastAsia="Times New Roman" w:hAnsi="Times New Roman" w:cs="Times New Roman"/>
          <w:sz w:val="28"/>
          <w:szCs w:val="28"/>
          <w:lang w:eastAsia="ru-RU"/>
        </w:rPr>
        <w:t>Цель соглашения – повышение эффективности негосударственной финансовой поддержки социальных проектов в Югре через поиск оптимального механизма финансирования социальных проектов, удовлетворяющий ожиданиям инвесторов, социальных предприятий  и региона в целом.</w:t>
      </w:r>
    </w:p>
    <w:p w:rsidR="00AE2227" w:rsidRPr="002771E6" w:rsidRDefault="00AE2227" w:rsidP="002771E6">
      <w:pPr>
        <w:widowControl w:val="0"/>
        <w:spacing w:after="0" w:line="360" w:lineRule="auto"/>
        <w:ind w:firstLine="709"/>
        <w:jc w:val="both"/>
        <w:rPr>
          <w:rFonts w:ascii="Times New Roman" w:eastAsia="Times New Roman" w:hAnsi="Times New Roman" w:cs="Times New Roman"/>
          <w:sz w:val="28"/>
          <w:szCs w:val="28"/>
          <w:lang w:eastAsia="ru-RU"/>
        </w:rPr>
      </w:pPr>
      <w:r w:rsidRPr="002771E6">
        <w:rPr>
          <w:rFonts w:ascii="Times New Roman" w:eastAsia="Times New Roman" w:hAnsi="Times New Roman" w:cs="Times New Roman"/>
          <w:sz w:val="28"/>
          <w:szCs w:val="28"/>
          <w:lang w:eastAsia="ru-RU"/>
        </w:rPr>
        <w:t xml:space="preserve">Системная поддержка, направленная на популяризацию социального предпринимательства и оказание селективной поддержки предпринимателям, оказывается на базе Центра инноваций социальной сферы. </w:t>
      </w:r>
    </w:p>
    <w:p w:rsidR="00AE2227" w:rsidRPr="002771E6" w:rsidRDefault="00AE2227" w:rsidP="002771E6">
      <w:pPr>
        <w:widowControl w:val="0"/>
        <w:spacing w:after="0" w:line="360" w:lineRule="auto"/>
        <w:ind w:firstLine="709"/>
        <w:jc w:val="both"/>
        <w:rPr>
          <w:rFonts w:ascii="Times New Roman" w:eastAsia="Times New Roman" w:hAnsi="Times New Roman" w:cs="Times New Roman"/>
          <w:sz w:val="28"/>
          <w:szCs w:val="28"/>
          <w:lang w:eastAsia="ru-RU"/>
        </w:rPr>
      </w:pPr>
      <w:r w:rsidRPr="002771E6">
        <w:rPr>
          <w:rFonts w:ascii="Times New Roman" w:eastAsia="Times New Roman" w:hAnsi="Times New Roman" w:cs="Times New Roman"/>
          <w:sz w:val="28"/>
          <w:szCs w:val="28"/>
          <w:lang w:eastAsia="ru-RU"/>
        </w:rPr>
        <w:t xml:space="preserve">Уникальные проекты Центра, такие, как Школа социального предпринимательства, позволили добиться значимых результатов по продвижению социального предпринимательства: около 100 проектов успешно реализуются в Югре - в результате </w:t>
      </w:r>
      <w:proofErr w:type="spellStart"/>
      <w:r w:rsidRPr="002771E6">
        <w:rPr>
          <w:rFonts w:ascii="Times New Roman" w:eastAsia="Times New Roman" w:hAnsi="Times New Roman" w:cs="Times New Roman"/>
          <w:sz w:val="28"/>
          <w:szCs w:val="28"/>
          <w:lang w:eastAsia="ru-RU"/>
        </w:rPr>
        <w:t>благополучателями</w:t>
      </w:r>
      <w:proofErr w:type="spellEnd"/>
      <w:r w:rsidRPr="002771E6">
        <w:rPr>
          <w:rFonts w:ascii="Times New Roman" w:eastAsia="Times New Roman" w:hAnsi="Times New Roman" w:cs="Times New Roman"/>
          <w:sz w:val="28"/>
          <w:szCs w:val="28"/>
          <w:lang w:eastAsia="ru-RU"/>
        </w:rPr>
        <w:t xml:space="preserve"> таких услуг стали более 10 тыс. </w:t>
      </w:r>
      <w:proofErr w:type="spellStart"/>
      <w:r w:rsidRPr="002771E6">
        <w:rPr>
          <w:rFonts w:ascii="Times New Roman" w:eastAsia="Times New Roman" w:hAnsi="Times New Roman" w:cs="Times New Roman"/>
          <w:sz w:val="28"/>
          <w:szCs w:val="28"/>
          <w:lang w:eastAsia="ru-RU"/>
        </w:rPr>
        <w:t>югорчан</w:t>
      </w:r>
      <w:proofErr w:type="spellEnd"/>
      <w:r w:rsidRPr="002771E6">
        <w:rPr>
          <w:rFonts w:ascii="Times New Roman" w:eastAsia="Times New Roman" w:hAnsi="Times New Roman" w:cs="Times New Roman"/>
          <w:sz w:val="28"/>
          <w:szCs w:val="28"/>
          <w:lang w:eastAsia="ru-RU"/>
        </w:rPr>
        <w:t>, заинтересованность в развитии социальных проектов подтверждается ростом участников проекта в 2 раза по сравнению с 2015 годом.</w:t>
      </w:r>
    </w:p>
    <w:p w:rsidR="006907D2" w:rsidRDefault="006907D2" w:rsidP="003F5B9F">
      <w:pPr>
        <w:widowControl w:val="0"/>
        <w:autoSpaceDE w:val="0"/>
        <w:autoSpaceDN w:val="0"/>
        <w:adjustRightInd w:val="0"/>
        <w:spacing w:after="0" w:line="360" w:lineRule="auto"/>
        <w:ind w:firstLine="567"/>
        <w:jc w:val="both"/>
        <w:rPr>
          <w:rFonts w:ascii="Times New Roman" w:hAnsi="Times New Roman" w:cs="Times New Roman"/>
          <w:sz w:val="28"/>
          <w:szCs w:val="28"/>
        </w:rPr>
      </w:pPr>
    </w:p>
    <w:p w:rsidR="008F7693" w:rsidRDefault="008F7693" w:rsidP="003F5B9F">
      <w:pPr>
        <w:widowControl w:val="0"/>
        <w:autoSpaceDE w:val="0"/>
        <w:autoSpaceDN w:val="0"/>
        <w:adjustRightInd w:val="0"/>
        <w:spacing w:after="0" w:line="360" w:lineRule="auto"/>
        <w:ind w:firstLine="567"/>
        <w:jc w:val="both"/>
        <w:rPr>
          <w:rFonts w:ascii="Times New Roman" w:hAnsi="Times New Roman" w:cs="Times New Roman"/>
          <w:sz w:val="28"/>
          <w:szCs w:val="28"/>
        </w:rPr>
      </w:pPr>
    </w:p>
    <w:p w:rsidR="008F7693" w:rsidRDefault="008F7693" w:rsidP="003F5B9F">
      <w:pPr>
        <w:widowControl w:val="0"/>
        <w:autoSpaceDE w:val="0"/>
        <w:autoSpaceDN w:val="0"/>
        <w:adjustRightInd w:val="0"/>
        <w:spacing w:after="0" w:line="360" w:lineRule="auto"/>
        <w:ind w:firstLine="567"/>
        <w:jc w:val="both"/>
        <w:rPr>
          <w:rFonts w:ascii="Times New Roman" w:hAnsi="Times New Roman" w:cs="Times New Roman"/>
          <w:sz w:val="28"/>
          <w:szCs w:val="28"/>
        </w:rPr>
      </w:pPr>
    </w:p>
    <w:p w:rsidR="003F5B9F" w:rsidRPr="008A5AA5" w:rsidRDefault="003F5B9F" w:rsidP="003F5B9F">
      <w:pPr>
        <w:widowControl w:val="0"/>
        <w:autoSpaceDE w:val="0"/>
        <w:autoSpaceDN w:val="0"/>
        <w:adjustRightInd w:val="0"/>
        <w:spacing w:after="0" w:line="360" w:lineRule="auto"/>
        <w:ind w:firstLine="567"/>
        <w:jc w:val="both"/>
        <w:rPr>
          <w:rFonts w:ascii="Times New Roman" w:hAnsi="Times New Roman" w:cs="Times New Roman"/>
          <w:sz w:val="28"/>
          <w:szCs w:val="28"/>
        </w:rPr>
      </w:pPr>
      <w:r w:rsidRPr="008A5AA5">
        <w:rPr>
          <w:rFonts w:ascii="Times New Roman" w:hAnsi="Times New Roman" w:cs="Times New Roman"/>
          <w:sz w:val="28"/>
          <w:szCs w:val="28"/>
        </w:rPr>
        <w:lastRenderedPageBreak/>
        <w:t xml:space="preserve">Мероприятия Программы имеют высокую значимость, </w:t>
      </w:r>
      <w:r>
        <w:rPr>
          <w:rFonts w:ascii="Times New Roman" w:hAnsi="Times New Roman" w:cs="Times New Roman"/>
          <w:sz w:val="28"/>
          <w:szCs w:val="28"/>
        </w:rPr>
        <w:t>направлены на обеспечение</w:t>
      </w:r>
      <w:r w:rsidRPr="008A5AA5">
        <w:rPr>
          <w:rFonts w:ascii="Times New Roman" w:hAnsi="Times New Roman" w:cs="Times New Roman"/>
          <w:sz w:val="28"/>
          <w:szCs w:val="28"/>
        </w:rPr>
        <w:t xml:space="preserve"> </w:t>
      </w:r>
      <w:r>
        <w:rPr>
          <w:rFonts w:ascii="Times New Roman" w:hAnsi="Times New Roman" w:cs="Times New Roman"/>
          <w:sz w:val="28"/>
          <w:szCs w:val="28"/>
        </w:rPr>
        <w:t>устойчивого</w:t>
      </w:r>
      <w:r w:rsidRPr="008A5AA5">
        <w:rPr>
          <w:rFonts w:ascii="Times New Roman" w:hAnsi="Times New Roman" w:cs="Times New Roman"/>
          <w:sz w:val="28"/>
          <w:szCs w:val="28"/>
        </w:rPr>
        <w:t xml:space="preserve"> социально-экономического развития </w:t>
      </w:r>
      <w:r>
        <w:rPr>
          <w:rFonts w:ascii="Times New Roman" w:hAnsi="Times New Roman" w:cs="Times New Roman"/>
          <w:sz w:val="28"/>
          <w:szCs w:val="28"/>
        </w:rPr>
        <w:t>автономного округа</w:t>
      </w:r>
      <w:r w:rsidRPr="008A5AA5">
        <w:rPr>
          <w:rFonts w:ascii="Times New Roman" w:hAnsi="Times New Roman" w:cs="Times New Roman"/>
          <w:sz w:val="28"/>
          <w:szCs w:val="28"/>
        </w:rPr>
        <w:t xml:space="preserve"> </w:t>
      </w:r>
      <w:r>
        <w:rPr>
          <w:rFonts w:ascii="Times New Roman" w:hAnsi="Times New Roman" w:cs="Times New Roman"/>
          <w:sz w:val="28"/>
          <w:szCs w:val="28"/>
        </w:rPr>
        <w:t xml:space="preserve">путем </w:t>
      </w:r>
      <w:r w:rsidRPr="008A5AA5">
        <w:rPr>
          <w:rFonts w:ascii="Times New Roman" w:hAnsi="Times New Roman" w:cs="Times New Roman"/>
          <w:sz w:val="28"/>
          <w:szCs w:val="28"/>
        </w:rPr>
        <w:t>повышения конкурентоспособности и инвестиционной привлекательности экономики, которые, в свою очередь</w:t>
      </w:r>
      <w:r>
        <w:rPr>
          <w:rFonts w:ascii="Times New Roman" w:hAnsi="Times New Roman" w:cs="Times New Roman"/>
          <w:sz w:val="28"/>
          <w:szCs w:val="28"/>
        </w:rPr>
        <w:t>,</w:t>
      </w:r>
      <w:r w:rsidRPr="008A5AA5">
        <w:rPr>
          <w:rFonts w:ascii="Times New Roman" w:hAnsi="Times New Roman" w:cs="Times New Roman"/>
          <w:sz w:val="28"/>
          <w:szCs w:val="28"/>
        </w:rPr>
        <w:t xml:space="preserve"> </w:t>
      </w:r>
      <w:r>
        <w:rPr>
          <w:rFonts w:ascii="Times New Roman" w:hAnsi="Times New Roman" w:cs="Times New Roman"/>
          <w:sz w:val="28"/>
          <w:szCs w:val="28"/>
        </w:rPr>
        <w:t xml:space="preserve">способствуют </w:t>
      </w:r>
      <w:r w:rsidRPr="008A5AA5">
        <w:rPr>
          <w:rFonts w:ascii="Times New Roman" w:hAnsi="Times New Roman" w:cs="Times New Roman"/>
          <w:sz w:val="28"/>
          <w:szCs w:val="28"/>
        </w:rPr>
        <w:t>положительны</w:t>
      </w:r>
      <w:r>
        <w:rPr>
          <w:rFonts w:ascii="Times New Roman" w:hAnsi="Times New Roman" w:cs="Times New Roman"/>
          <w:sz w:val="28"/>
          <w:szCs w:val="28"/>
        </w:rPr>
        <w:t>м</w:t>
      </w:r>
      <w:r w:rsidRPr="008A5AA5">
        <w:rPr>
          <w:rFonts w:ascii="Times New Roman" w:hAnsi="Times New Roman" w:cs="Times New Roman"/>
          <w:sz w:val="28"/>
          <w:szCs w:val="28"/>
        </w:rPr>
        <w:t xml:space="preserve"> </w:t>
      </w:r>
      <w:r>
        <w:rPr>
          <w:rFonts w:ascii="Times New Roman" w:hAnsi="Times New Roman" w:cs="Times New Roman"/>
          <w:sz w:val="28"/>
          <w:szCs w:val="28"/>
        </w:rPr>
        <w:t>изменениям и в социальной сфере.</w:t>
      </w:r>
    </w:p>
    <w:p w:rsidR="003F5B9F" w:rsidRPr="003F5B9F" w:rsidRDefault="003F5B9F" w:rsidP="0009452E">
      <w:pPr>
        <w:widowControl w:val="0"/>
        <w:spacing w:after="0" w:line="360" w:lineRule="auto"/>
        <w:ind w:firstLine="567"/>
        <w:jc w:val="both"/>
        <w:rPr>
          <w:rFonts w:ascii="Times New Roman" w:eastAsia="Calibri" w:hAnsi="Times New Roman" w:cs="Times New Roman"/>
          <w:sz w:val="28"/>
          <w:szCs w:val="28"/>
        </w:rPr>
      </w:pPr>
      <w:r>
        <w:rPr>
          <w:rFonts w:ascii="Times New Roman" w:hAnsi="Times New Roman" w:cs="Times New Roman"/>
          <w:sz w:val="28"/>
          <w:szCs w:val="28"/>
        </w:rPr>
        <w:t>В 201</w:t>
      </w:r>
      <w:r w:rsidR="0009452E" w:rsidRPr="0009452E">
        <w:rPr>
          <w:rFonts w:ascii="Times New Roman" w:hAnsi="Times New Roman" w:cs="Times New Roman"/>
          <w:sz w:val="28"/>
          <w:szCs w:val="28"/>
        </w:rPr>
        <w:t>7</w:t>
      </w:r>
      <w:r>
        <w:rPr>
          <w:rFonts w:ascii="Times New Roman" w:hAnsi="Times New Roman" w:cs="Times New Roman"/>
          <w:sz w:val="28"/>
          <w:szCs w:val="28"/>
        </w:rPr>
        <w:t xml:space="preserve"> году планируется продолжить реализацию мероприятий Программы, направленных на достижение целей, задач и показателей, установленных указами Президента Российской Федерации от 7 мая 2012 года по обеспечению социально-экономического развития автономного округа.</w:t>
      </w:r>
    </w:p>
    <w:sectPr w:rsidR="003F5B9F" w:rsidRPr="003F5B9F" w:rsidSect="001D5548">
      <w:headerReference w:type="default" r:id="rId10"/>
      <w:pgSz w:w="11906" w:h="16838"/>
      <w:pgMar w:top="1418" w:right="1276" w:bottom="1134" w:left="1559"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4493" w:rsidRDefault="00764493" w:rsidP="00F17821">
      <w:pPr>
        <w:spacing w:after="0" w:line="240" w:lineRule="auto"/>
      </w:pPr>
      <w:r>
        <w:separator/>
      </w:r>
    </w:p>
  </w:endnote>
  <w:endnote w:type="continuationSeparator" w:id="0">
    <w:p w:rsidR="00764493" w:rsidRDefault="00764493" w:rsidP="00F178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heliosregular">
    <w:altName w:val="Times New Roman"/>
    <w:charset w:val="00"/>
    <w:family w:val="auto"/>
    <w:pitch w:val="default"/>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4493" w:rsidRDefault="00764493" w:rsidP="00F17821">
      <w:pPr>
        <w:spacing w:after="0" w:line="240" w:lineRule="auto"/>
      </w:pPr>
      <w:r>
        <w:separator/>
      </w:r>
    </w:p>
  </w:footnote>
  <w:footnote w:type="continuationSeparator" w:id="0">
    <w:p w:rsidR="00764493" w:rsidRDefault="00764493" w:rsidP="00F17821">
      <w:pPr>
        <w:spacing w:after="0" w:line="240" w:lineRule="auto"/>
      </w:pPr>
      <w:r>
        <w:continuationSeparator/>
      </w:r>
    </w:p>
  </w:footnote>
  <w:footnote w:id="1">
    <w:p w:rsidR="006E62CC" w:rsidRPr="00801570" w:rsidRDefault="006E62CC" w:rsidP="00801570">
      <w:pPr>
        <w:pStyle w:val="a8"/>
        <w:ind w:firstLine="284"/>
        <w:jc w:val="both"/>
        <w:rPr>
          <w:rFonts w:ascii="Times New Roman" w:hAnsi="Times New Roman" w:cs="Times New Roman"/>
          <w:sz w:val="18"/>
          <w:szCs w:val="18"/>
        </w:rPr>
      </w:pPr>
      <w:r>
        <w:rPr>
          <w:rStyle w:val="aa"/>
        </w:rPr>
        <w:footnoteRef/>
      </w:r>
      <w:r>
        <w:t xml:space="preserve"> </w:t>
      </w:r>
      <w:r w:rsidRPr="00801570">
        <w:rPr>
          <w:rFonts w:ascii="Times New Roman" w:hAnsi="Times New Roman" w:cs="Times New Roman"/>
          <w:sz w:val="18"/>
          <w:szCs w:val="18"/>
        </w:rPr>
        <w:t>Постановление Правительства Ханты-Мансийского автономного округа – Югры от 31 июля 2015 года № 247-п «О порядке разработки бюджетного прогноза Ханты-Мансийского автономного округа – Югры на долгосрочный период»;</w:t>
      </w:r>
    </w:p>
    <w:p w:rsidR="006E62CC" w:rsidRPr="00801570" w:rsidRDefault="006E62CC" w:rsidP="00801570">
      <w:pPr>
        <w:spacing w:after="0" w:line="240" w:lineRule="auto"/>
        <w:ind w:firstLine="284"/>
        <w:jc w:val="both"/>
        <w:rPr>
          <w:rFonts w:ascii="Times New Roman" w:hAnsi="Times New Roman" w:cs="Times New Roman"/>
          <w:sz w:val="18"/>
          <w:szCs w:val="18"/>
        </w:rPr>
      </w:pPr>
      <w:r>
        <w:rPr>
          <w:rFonts w:ascii="Times New Roman" w:hAnsi="Times New Roman" w:cs="Times New Roman"/>
          <w:sz w:val="18"/>
          <w:szCs w:val="18"/>
        </w:rPr>
        <w:t>П</w:t>
      </w:r>
      <w:r w:rsidRPr="00801570">
        <w:rPr>
          <w:rFonts w:ascii="Times New Roman" w:hAnsi="Times New Roman" w:cs="Times New Roman"/>
          <w:sz w:val="18"/>
          <w:szCs w:val="18"/>
        </w:rPr>
        <w:t>остановление Правительства Ханты-Мансийского автономного округа – Югры от 27 ноября 2015 № 437-п «О Порядке разработки, корректировки, осуществления мониторинга и контроля реализации стратегии социально-экономического развития Ханты-Мансийского автономного округа – Югры»;</w:t>
      </w:r>
    </w:p>
    <w:p w:rsidR="006E62CC" w:rsidRPr="00801570" w:rsidRDefault="006E62CC" w:rsidP="00801570">
      <w:pPr>
        <w:spacing w:after="0" w:line="240" w:lineRule="auto"/>
        <w:ind w:firstLine="284"/>
        <w:jc w:val="both"/>
        <w:rPr>
          <w:rFonts w:ascii="Times New Roman" w:hAnsi="Times New Roman" w:cs="Times New Roman"/>
          <w:sz w:val="18"/>
          <w:szCs w:val="18"/>
        </w:rPr>
      </w:pPr>
      <w:r>
        <w:rPr>
          <w:rFonts w:ascii="Times New Roman" w:hAnsi="Times New Roman" w:cs="Times New Roman"/>
          <w:sz w:val="18"/>
          <w:szCs w:val="18"/>
        </w:rPr>
        <w:t>П</w:t>
      </w:r>
      <w:r w:rsidRPr="00801570">
        <w:rPr>
          <w:rFonts w:ascii="Times New Roman" w:hAnsi="Times New Roman" w:cs="Times New Roman"/>
          <w:sz w:val="18"/>
          <w:szCs w:val="18"/>
        </w:rPr>
        <w:t>остановление Правительства Ханты-Мансийского автономного округа – Югры от 25 декабря 2015 № 486-п «О Порядке осуществления стратегического планирования в Ханты-Мансийском автономном округе – Югре»;</w:t>
      </w:r>
    </w:p>
    <w:p w:rsidR="006E62CC" w:rsidRPr="00801570" w:rsidRDefault="006E62CC" w:rsidP="00801570">
      <w:pPr>
        <w:spacing w:after="0" w:line="240" w:lineRule="auto"/>
        <w:ind w:firstLine="284"/>
        <w:jc w:val="both"/>
        <w:rPr>
          <w:rFonts w:ascii="Times New Roman" w:hAnsi="Times New Roman" w:cs="Times New Roman"/>
          <w:sz w:val="18"/>
          <w:szCs w:val="18"/>
        </w:rPr>
      </w:pPr>
      <w:r>
        <w:rPr>
          <w:rFonts w:ascii="Times New Roman" w:hAnsi="Times New Roman" w:cs="Times New Roman"/>
          <w:sz w:val="18"/>
          <w:szCs w:val="18"/>
        </w:rPr>
        <w:t>П</w:t>
      </w:r>
      <w:r w:rsidRPr="00801570">
        <w:rPr>
          <w:rFonts w:ascii="Times New Roman" w:hAnsi="Times New Roman" w:cs="Times New Roman"/>
          <w:sz w:val="18"/>
          <w:szCs w:val="18"/>
        </w:rPr>
        <w:t xml:space="preserve">остановление Правительства Ханты-Мансийского автономного округа – Югры от  25 декабря 2015 года </w:t>
      </w:r>
      <w:r w:rsidR="008F7693">
        <w:rPr>
          <w:rFonts w:ascii="Times New Roman" w:hAnsi="Times New Roman" w:cs="Times New Roman"/>
          <w:sz w:val="18"/>
          <w:szCs w:val="18"/>
        </w:rPr>
        <w:br/>
      </w:r>
      <w:r w:rsidRPr="00801570">
        <w:rPr>
          <w:rFonts w:ascii="Times New Roman" w:hAnsi="Times New Roman" w:cs="Times New Roman"/>
          <w:sz w:val="18"/>
          <w:szCs w:val="18"/>
        </w:rPr>
        <w:t>№ 488-п «О порядке разработки, корректировки, утверждения (одобрения) и осуществления мониторинга прогноза социально-экономического развития Ханты-Мансийского автономного округа – Югры на долгосрочный период и контроля его реализации»;</w:t>
      </w:r>
    </w:p>
    <w:p w:rsidR="006E62CC" w:rsidRPr="00EB4CB5" w:rsidRDefault="006E62CC" w:rsidP="00EB4CB5">
      <w:pPr>
        <w:spacing w:after="0" w:line="240" w:lineRule="auto"/>
        <w:ind w:firstLine="284"/>
        <w:jc w:val="both"/>
        <w:rPr>
          <w:rFonts w:ascii="Times New Roman" w:hAnsi="Times New Roman" w:cs="Times New Roman"/>
          <w:sz w:val="18"/>
          <w:szCs w:val="18"/>
        </w:rPr>
      </w:pPr>
      <w:proofErr w:type="gramStart"/>
      <w:r>
        <w:rPr>
          <w:rFonts w:ascii="Times New Roman" w:hAnsi="Times New Roman" w:cs="Times New Roman"/>
          <w:sz w:val="18"/>
          <w:szCs w:val="18"/>
        </w:rPr>
        <w:t>П</w:t>
      </w:r>
      <w:r w:rsidRPr="00801570">
        <w:rPr>
          <w:rFonts w:ascii="Times New Roman" w:hAnsi="Times New Roman" w:cs="Times New Roman"/>
          <w:sz w:val="18"/>
          <w:szCs w:val="18"/>
        </w:rPr>
        <w:t xml:space="preserve">остановление Правительства Ханты-Мансийского автономного округа – Югры от 25 декабря 2015 года  </w:t>
      </w:r>
      <w:r w:rsidR="008F7693">
        <w:rPr>
          <w:rFonts w:ascii="Times New Roman" w:hAnsi="Times New Roman" w:cs="Times New Roman"/>
          <w:sz w:val="18"/>
          <w:szCs w:val="18"/>
        </w:rPr>
        <w:br/>
      </w:r>
      <w:r w:rsidRPr="00801570">
        <w:rPr>
          <w:rFonts w:ascii="Times New Roman" w:hAnsi="Times New Roman" w:cs="Times New Roman"/>
          <w:sz w:val="18"/>
          <w:szCs w:val="18"/>
        </w:rPr>
        <w:t>№ 487-п «О порядке разработки, корректировки, утверждения (одобрения) и осуществления мониторинга прогноза социально-экономического развития Ханты-Мансийского автономного округа – Югры на среднесрочный период и контроля его реализации и признании утратившим силу постановления Правительства Ханты-Мансийского автономного округа – Югры от 20 декабря 2007 года № 327-п «О Порядке разработки прогноза социально-экономического развития Ханты-Мансийского автономного округа</w:t>
      </w:r>
      <w:proofErr w:type="gramEnd"/>
      <w:r w:rsidRPr="00801570">
        <w:rPr>
          <w:rFonts w:ascii="Times New Roman" w:hAnsi="Times New Roman" w:cs="Times New Roman"/>
          <w:sz w:val="18"/>
          <w:szCs w:val="18"/>
        </w:rPr>
        <w:t xml:space="preserve"> – Югры».</w:t>
      </w:r>
    </w:p>
  </w:footnote>
  <w:footnote w:id="2">
    <w:p w:rsidR="001D5548" w:rsidRDefault="001D5548" w:rsidP="0004449A">
      <w:pPr>
        <w:pStyle w:val="a8"/>
        <w:keepNext/>
        <w:ind w:firstLine="709"/>
        <w:jc w:val="both"/>
        <w:rPr>
          <w:rFonts w:ascii="Times New Roman" w:hAnsi="Times New Roman"/>
          <w:sz w:val="24"/>
          <w:szCs w:val="24"/>
          <w:lang w:eastAsia="ru-RU"/>
        </w:rPr>
      </w:pPr>
      <w:r>
        <w:rPr>
          <w:rStyle w:val="aa"/>
        </w:rPr>
        <w:t>2</w:t>
      </w:r>
      <w:r>
        <w:rPr>
          <w:rFonts w:ascii="Times New Roman" w:hAnsi="Times New Roman"/>
          <w:sz w:val="24"/>
          <w:szCs w:val="24"/>
        </w:rPr>
        <w:t xml:space="preserve"> Закон</w:t>
      </w:r>
      <w:proofErr w:type="gramStart"/>
      <w:r>
        <w:rPr>
          <w:rFonts w:ascii="Times New Roman" w:hAnsi="Times New Roman"/>
          <w:sz w:val="24"/>
          <w:szCs w:val="24"/>
        </w:rPr>
        <w:t xml:space="preserve"> О</w:t>
      </w:r>
      <w:proofErr w:type="gramEnd"/>
      <w:r>
        <w:rPr>
          <w:rFonts w:ascii="Times New Roman" w:hAnsi="Times New Roman"/>
          <w:sz w:val="24"/>
          <w:szCs w:val="24"/>
        </w:rPr>
        <w:t xml:space="preserve"> промышленной политике в Югре от 31.03.2016 № 23-оз; </w:t>
      </w:r>
    </w:p>
  </w:footnote>
  <w:footnote w:id="3">
    <w:p w:rsidR="001D5548" w:rsidRDefault="001D5548" w:rsidP="0004449A">
      <w:pPr>
        <w:pStyle w:val="a8"/>
        <w:keepNext/>
        <w:ind w:firstLine="709"/>
        <w:jc w:val="both"/>
        <w:rPr>
          <w:rFonts w:ascii="Calibri" w:eastAsia="Times New Roman" w:hAnsi="Calibri"/>
        </w:rPr>
      </w:pPr>
      <w:r>
        <w:rPr>
          <w:rStyle w:val="aa"/>
        </w:rPr>
        <w:t>3</w:t>
      </w:r>
      <w:r>
        <w:rPr>
          <w:rFonts w:ascii="Times New Roman" w:hAnsi="Times New Roman"/>
          <w:sz w:val="24"/>
          <w:szCs w:val="24"/>
        </w:rPr>
        <w:t xml:space="preserve"> Постановление Правительства автономного округа от 29.12.2015 №519-п.</w:t>
      </w:r>
    </w:p>
  </w:footnote>
  <w:footnote w:id="4">
    <w:p w:rsidR="001D5548" w:rsidRDefault="001D5548" w:rsidP="00AE2227">
      <w:pPr>
        <w:pStyle w:val="a8"/>
        <w:jc w:val="both"/>
      </w:pPr>
      <w:r>
        <w:rPr>
          <w:rStyle w:val="aa"/>
        </w:rPr>
        <w:t>4</w:t>
      </w:r>
      <w:r>
        <w:t xml:space="preserve"> Закон Ханты-Мансийского автономного округа – Югры от 17.11.2016 № 98-оз «О внесении изменений в Закон Ханты-Мансийского автономного округа – Югры «О поддержке региональных социально ориентированных некоммерческих организаций, осуществляющих деятельность в Ханты-Мансийском автономном округе – Югре».</w:t>
      </w:r>
    </w:p>
  </w:footnote>
  <w:footnote w:id="5">
    <w:p w:rsidR="001D5548" w:rsidRDefault="001D5548" w:rsidP="00AE2227">
      <w:pPr>
        <w:pStyle w:val="a8"/>
        <w:jc w:val="both"/>
      </w:pPr>
      <w:r>
        <w:rPr>
          <w:rStyle w:val="aa"/>
        </w:rPr>
        <w:t>5</w:t>
      </w:r>
      <w:r>
        <w:t xml:space="preserve"> Распоряжение Правительства Ханты-Мансийского автономного округа – Югры от 22.07.2016 № 394-рп.</w:t>
      </w:r>
    </w:p>
  </w:footnote>
  <w:footnote w:id="6">
    <w:p w:rsidR="006E62CC" w:rsidRDefault="006E62CC" w:rsidP="00AE2227">
      <w:pPr>
        <w:pStyle w:val="a8"/>
      </w:pPr>
    </w:p>
  </w:footnote>
  <w:footnote w:id="7">
    <w:p w:rsidR="001D5548" w:rsidRDefault="001D5548" w:rsidP="00AE2227">
      <w:pPr>
        <w:pStyle w:val="a8"/>
      </w:pPr>
      <w:r>
        <w:rPr>
          <w:rStyle w:val="aa"/>
        </w:rPr>
        <w:t>6</w:t>
      </w:r>
      <w:r>
        <w:t xml:space="preserve"> </w:t>
      </w:r>
      <w:r w:rsidRPr="00FA1B8A">
        <w:t xml:space="preserve">распоряжение Правительства Российской Федерации от </w:t>
      </w:r>
      <w:r>
        <w:t>0</w:t>
      </w:r>
      <w:r w:rsidRPr="00FA1B8A">
        <w:t>2</w:t>
      </w:r>
      <w:r>
        <w:t>.06.</w:t>
      </w:r>
      <w:r w:rsidRPr="00FA1B8A">
        <w:t>2016 №1083-р</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70526247"/>
      <w:docPartObj>
        <w:docPartGallery w:val="Page Numbers (Top of Page)"/>
        <w:docPartUnique/>
      </w:docPartObj>
    </w:sdtPr>
    <w:sdtEndPr/>
    <w:sdtContent>
      <w:p w:rsidR="006E62CC" w:rsidRDefault="006E62CC">
        <w:pPr>
          <w:pStyle w:val="a4"/>
          <w:jc w:val="center"/>
        </w:pPr>
        <w:r>
          <w:fldChar w:fldCharType="begin"/>
        </w:r>
        <w:r>
          <w:instrText>PAGE   \* MERGEFORMAT</w:instrText>
        </w:r>
        <w:r>
          <w:fldChar w:fldCharType="separate"/>
        </w:r>
        <w:r w:rsidR="0092589F">
          <w:rPr>
            <w:noProof/>
          </w:rPr>
          <w:t>29</w:t>
        </w:r>
        <w:r>
          <w:fldChar w:fldCharType="end"/>
        </w:r>
      </w:p>
    </w:sdtContent>
  </w:sdt>
  <w:p w:rsidR="006E62CC" w:rsidRDefault="006E62CC">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13A72"/>
    <w:multiLevelType w:val="hybridMultilevel"/>
    <w:tmpl w:val="3A10CF14"/>
    <w:lvl w:ilvl="0" w:tplc="5D7E2A42">
      <w:start w:val="1"/>
      <w:numFmt w:val="decimal"/>
      <w:lvlText w:val="%1."/>
      <w:lvlJc w:val="left"/>
      <w:pPr>
        <w:ind w:left="870" w:hanging="51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8BF7B40"/>
    <w:multiLevelType w:val="hybridMultilevel"/>
    <w:tmpl w:val="3A3A5556"/>
    <w:lvl w:ilvl="0" w:tplc="0419000F">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6A66"/>
    <w:rsid w:val="00012C7C"/>
    <w:rsid w:val="0004449A"/>
    <w:rsid w:val="00077D31"/>
    <w:rsid w:val="0009452E"/>
    <w:rsid w:val="000A3566"/>
    <w:rsid w:val="000D2B26"/>
    <w:rsid w:val="00173A87"/>
    <w:rsid w:val="001950C2"/>
    <w:rsid w:val="001D5548"/>
    <w:rsid w:val="001F2E42"/>
    <w:rsid w:val="0023298C"/>
    <w:rsid w:val="0024756F"/>
    <w:rsid w:val="00266FAF"/>
    <w:rsid w:val="00270B31"/>
    <w:rsid w:val="00274969"/>
    <w:rsid w:val="002771E6"/>
    <w:rsid w:val="00287147"/>
    <w:rsid w:val="00297451"/>
    <w:rsid w:val="002C50AB"/>
    <w:rsid w:val="002D69E4"/>
    <w:rsid w:val="002D7BF4"/>
    <w:rsid w:val="00303609"/>
    <w:rsid w:val="00304636"/>
    <w:rsid w:val="00304741"/>
    <w:rsid w:val="003151B1"/>
    <w:rsid w:val="003546BC"/>
    <w:rsid w:val="003C202D"/>
    <w:rsid w:val="003F5B9F"/>
    <w:rsid w:val="00401FBE"/>
    <w:rsid w:val="00417624"/>
    <w:rsid w:val="00432AB0"/>
    <w:rsid w:val="00445BA9"/>
    <w:rsid w:val="004534CC"/>
    <w:rsid w:val="004775C8"/>
    <w:rsid w:val="0048498F"/>
    <w:rsid w:val="004929E9"/>
    <w:rsid w:val="00495E88"/>
    <w:rsid w:val="004B4329"/>
    <w:rsid w:val="004C0E61"/>
    <w:rsid w:val="004E5ED1"/>
    <w:rsid w:val="005B116F"/>
    <w:rsid w:val="005B4D70"/>
    <w:rsid w:val="005B52CF"/>
    <w:rsid w:val="005E62E4"/>
    <w:rsid w:val="005F1489"/>
    <w:rsid w:val="00637261"/>
    <w:rsid w:val="00640FD3"/>
    <w:rsid w:val="00682E50"/>
    <w:rsid w:val="0068327F"/>
    <w:rsid w:val="006907D2"/>
    <w:rsid w:val="006E16C4"/>
    <w:rsid w:val="006E62CC"/>
    <w:rsid w:val="00727FAD"/>
    <w:rsid w:val="00764493"/>
    <w:rsid w:val="00776D55"/>
    <w:rsid w:val="00776EAE"/>
    <w:rsid w:val="007C7FAA"/>
    <w:rsid w:val="007D266F"/>
    <w:rsid w:val="00801570"/>
    <w:rsid w:val="00807CC4"/>
    <w:rsid w:val="00826930"/>
    <w:rsid w:val="00870765"/>
    <w:rsid w:val="0088569B"/>
    <w:rsid w:val="00886C24"/>
    <w:rsid w:val="0089304D"/>
    <w:rsid w:val="008F7693"/>
    <w:rsid w:val="009008CA"/>
    <w:rsid w:val="00920DCC"/>
    <w:rsid w:val="0092589F"/>
    <w:rsid w:val="00937F0A"/>
    <w:rsid w:val="00964D3E"/>
    <w:rsid w:val="00984049"/>
    <w:rsid w:val="009B1920"/>
    <w:rsid w:val="009D2DB1"/>
    <w:rsid w:val="009E7132"/>
    <w:rsid w:val="00A02AE9"/>
    <w:rsid w:val="00A115D4"/>
    <w:rsid w:val="00A33157"/>
    <w:rsid w:val="00A374C0"/>
    <w:rsid w:val="00A7408D"/>
    <w:rsid w:val="00AA02F6"/>
    <w:rsid w:val="00AA7AC7"/>
    <w:rsid w:val="00AB76F9"/>
    <w:rsid w:val="00AD74E8"/>
    <w:rsid w:val="00AE2227"/>
    <w:rsid w:val="00B330EC"/>
    <w:rsid w:val="00B514D7"/>
    <w:rsid w:val="00B52514"/>
    <w:rsid w:val="00BA1461"/>
    <w:rsid w:val="00BB5127"/>
    <w:rsid w:val="00BB7D3F"/>
    <w:rsid w:val="00BC196E"/>
    <w:rsid w:val="00BE0CE7"/>
    <w:rsid w:val="00BF0BFD"/>
    <w:rsid w:val="00C03F05"/>
    <w:rsid w:val="00C103CA"/>
    <w:rsid w:val="00C25FDA"/>
    <w:rsid w:val="00C548A0"/>
    <w:rsid w:val="00C8391B"/>
    <w:rsid w:val="00C91F70"/>
    <w:rsid w:val="00C945DB"/>
    <w:rsid w:val="00CE3AC7"/>
    <w:rsid w:val="00D03D8D"/>
    <w:rsid w:val="00D06A66"/>
    <w:rsid w:val="00D32300"/>
    <w:rsid w:val="00D43EC5"/>
    <w:rsid w:val="00D47736"/>
    <w:rsid w:val="00D97920"/>
    <w:rsid w:val="00DA5542"/>
    <w:rsid w:val="00DB1285"/>
    <w:rsid w:val="00DB1746"/>
    <w:rsid w:val="00DC286C"/>
    <w:rsid w:val="00DC44E2"/>
    <w:rsid w:val="00DC78D2"/>
    <w:rsid w:val="00DD2FF2"/>
    <w:rsid w:val="00DD3D12"/>
    <w:rsid w:val="00DF4E09"/>
    <w:rsid w:val="00DF763B"/>
    <w:rsid w:val="00E8759A"/>
    <w:rsid w:val="00E92BCE"/>
    <w:rsid w:val="00EB4CB5"/>
    <w:rsid w:val="00F17821"/>
    <w:rsid w:val="00F46A26"/>
    <w:rsid w:val="00F552EB"/>
    <w:rsid w:val="00F81F98"/>
    <w:rsid w:val="00F83FBF"/>
    <w:rsid w:val="00FA75A5"/>
    <w:rsid w:val="00FB0A4C"/>
    <w:rsid w:val="00FE78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02AE9"/>
    <w:pPr>
      <w:ind w:left="720"/>
      <w:contextualSpacing/>
    </w:pPr>
  </w:style>
  <w:style w:type="paragraph" w:styleId="a4">
    <w:name w:val="header"/>
    <w:basedOn w:val="a"/>
    <w:link w:val="a5"/>
    <w:uiPriority w:val="99"/>
    <w:unhideWhenUsed/>
    <w:rsid w:val="00F17821"/>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F17821"/>
  </w:style>
  <w:style w:type="paragraph" w:styleId="a6">
    <w:name w:val="footer"/>
    <w:basedOn w:val="a"/>
    <w:link w:val="a7"/>
    <w:uiPriority w:val="99"/>
    <w:unhideWhenUsed/>
    <w:rsid w:val="00F17821"/>
    <w:pPr>
      <w:tabs>
        <w:tab w:val="center" w:pos="4677"/>
        <w:tab w:val="right" w:pos="9355"/>
      </w:tabs>
      <w:spacing w:after="0" w:line="240" w:lineRule="auto"/>
    </w:pPr>
  </w:style>
  <w:style w:type="character" w:customStyle="1" w:styleId="a7">
    <w:name w:val="Нижний колонтитул Знак"/>
    <w:basedOn w:val="a0"/>
    <w:link w:val="a6"/>
    <w:uiPriority w:val="99"/>
    <w:rsid w:val="00F17821"/>
  </w:style>
  <w:style w:type="paragraph" w:styleId="a8">
    <w:name w:val="footnote text"/>
    <w:aliases w:val="Table_Footnote_last,Текст сноски Знак Знак Char,Texto de nota al pie Char,Texto de nota al pie,Текст сноски Знак Знак Char Char,Schriftart: 9 pt,Schriftart: 10 pt,Schriftart: 8 pt,single space,Текст сноски Знак1 Знак,fn,ft,footnote text,f"/>
    <w:basedOn w:val="a"/>
    <w:link w:val="a9"/>
    <w:uiPriority w:val="99"/>
    <w:semiHidden/>
    <w:unhideWhenUsed/>
    <w:rsid w:val="00801570"/>
    <w:pPr>
      <w:spacing w:after="0" w:line="240" w:lineRule="auto"/>
    </w:pPr>
    <w:rPr>
      <w:sz w:val="20"/>
      <w:szCs w:val="20"/>
    </w:rPr>
  </w:style>
  <w:style w:type="character" w:customStyle="1" w:styleId="a9">
    <w:name w:val="Текст сноски Знак"/>
    <w:aliases w:val="Table_Footnote_last Знак,Текст сноски Знак Знак Char Знак,Texto de nota al pie Char Знак,Texto de nota al pie Знак,Текст сноски Знак Знак Char Char Знак,Schriftart: 9 pt Знак,Schriftart: 10 pt Знак,Schriftart: 8 pt Знак,fn Знак,ft Знак"/>
    <w:basedOn w:val="a0"/>
    <w:link w:val="a8"/>
    <w:uiPriority w:val="99"/>
    <w:semiHidden/>
    <w:rsid w:val="00801570"/>
    <w:rPr>
      <w:sz w:val="20"/>
      <w:szCs w:val="20"/>
    </w:rPr>
  </w:style>
  <w:style w:type="character" w:styleId="aa">
    <w:name w:val="footnote reference"/>
    <w:aliases w:val="Знак сноски 1,Знак сноски-FN,Ciae niinee-FN,SUPERS,Referencia nota al pie,fr,Used by Word for Help footnote symbols,16 Point,Superscript 6 Point,BVI fnr,Ciae niinee 1,Footnote Reference Number,ftref,анкета сноска,Ссылка на сноску 45"/>
    <w:basedOn w:val="a0"/>
    <w:uiPriority w:val="99"/>
    <w:semiHidden/>
    <w:unhideWhenUsed/>
    <w:rsid w:val="00801570"/>
    <w:rPr>
      <w:vertAlign w:val="superscript"/>
    </w:rPr>
  </w:style>
  <w:style w:type="character" w:styleId="ab">
    <w:name w:val="Hyperlink"/>
    <w:basedOn w:val="a0"/>
    <w:uiPriority w:val="99"/>
    <w:unhideWhenUsed/>
    <w:rsid w:val="00304636"/>
    <w:rPr>
      <w:color w:val="0563C1" w:themeColor="hyperlink"/>
      <w:u w:val="single"/>
    </w:rPr>
  </w:style>
  <w:style w:type="paragraph" w:customStyle="1" w:styleId="Default">
    <w:name w:val="Default"/>
    <w:rsid w:val="00870765"/>
    <w:pPr>
      <w:autoSpaceDE w:val="0"/>
      <w:autoSpaceDN w:val="0"/>
      <w:adjustRightInd w:val="0"/>
      <w:spacing w:after="0" w:line="240" w:lineRule="auto"/>
    </w:pPr>
    <w:rPr>
      <w:rFonts w:ascii="Times New Roman" w:hAnsi="Times New Roman" w:cs="Times New Roman"/>
      <w:color w:val="000000"/>
      <w:sz w:val="24"/>
      <w:szCs w:val="24"/>
    </w:rPr>
  </w:style>
  <w:style w:type="paragraph" w:styleId="ac">
    <w:name w:val="Balloon Text"/>
    <w:basedOn w:val="a"/>
    <w:link w:val="ad"/>
    <w:uiPriority w:val="99"/>
    <w:semiHidden/>
    <w:unhideWhenUsed/>
    <w:rsid w:val="00270B31"/>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270B31"/>
    <w:rPr>
      <w:rFonts w:ascii="Tahoma" w:hAnsi="Tahoma" w:cs="Tahoma"/>
      <w:sz w:val="16"/>
      <w:szCs w:val="16"/>
    </w:rPr>
  </w:style>
  <w:style w:type="table" w:styleId="ae">
    <w:name w:val="Table Grid"/>
    <w:basedOn w:val="a1"/>
    <w:uiPriority w:val="39"/>
    <w:rsid w:val="002C50A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02AE9"/>
    <w:pPr>
      <w:ind w:left="720"/>
      <w:contextualSpacing/>
    </w:pPr>
  </w:style>
  <w:style w:type="paragraph" w:styleId="a4">
    <w:name w:val="header"/>
    <w:basedOn w:val="a"/>
    <w:link w:val="a5"/>
    <w:uiPriority w:val="99"/>
    <w:unhideWhenUsed/>
    <w:rsid w:val="00F17821"/>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F17821"/>
  </w:style>
  <w:style w:type="paragraph" w:styleId="a6">
    <w:name w:val="footer"/>
    <w:basedOn w:val="a"/>
    <w:link w:val="a7"/>
    <w:uiPriority w:val="99"/>
    <w:unhideWhenUsed/>
    <w:rsid w:val="00F17821"/>
    <w:pPr>
      <w:tabs>
        <w:tab w:val="center" w:pos="4677"/>
        <w:tab w:val="right" w:pos="9355"/>
      </w:tabs>
      <w:spacing w:after="0" w:line="240" w:lineRule="auto"/>
    </w:pPr>
  </w:style>
  <w:style w:type="character" w:customStyle="1" w:styleId="a7">
    <w:name w:val="Нижний колонтитул Знак"/>
    <w:basedOn w:val="a0"/>
    <w:link w:val="a6"/>
    <w:uiPriority w:val="99"/>
    <w:rsid w:val="00F17821"/>
  </w:style>
  <w:style w:type="paragraph" w:styleId="a8">
    <w:name w:val="footnote text"/>
    <w:aliases w:val="Table_Footnote_last,Текст сноски Знак Знак Char,Texto de nota al pie Char,Texto de nota al pie,Текст сноски Знак Знак Char Char,Schriftart: 9 pt,Schriftart: 10 pt,Schriftart: 8 pt,single space,Текст сноски Знак1 Знак,fn,ft,footnote text,f"/>
    <w:basedOn w:val="a"/>
    <w:link w:val="a9"/>
    <w:uiPriority w:val="99"/>
    <w:semiHidden/>
    <w:unhideWhenUsed/>
    <w:rsid w:val="00801570"/>
    <w:pPr>
      <w:spacing w:after="0" w:line="240" w:lineRule="auto"/>
    </w:pPr>
    <w:rPr>
      <w:sz w:val="20"/>
      <w:szCs w:val="20"/>
    </w:rPr>
  </w:style>
  <w:style w:type="character" w:customStyle="1" w:styleId="a9">
    <w:name w:val="Текст сноски Знак"/>
    <w:aliases w:val="Table_Footnote_last Знак,Текст сноски Знак Знак Char Знак,Texto de nota al pie Char Знак,Texto de nota al pie Знак,Текст сноски Знак Знак Char Char Знак,Schriftart: 9 pt Знак,Schriftart: 10 pt Знак,Schriftart: 8 pt Знак,fn Знак,ft Знак"/>
    <w:basedOn w:val="a0"/>
    <w:link w:val="a8"/>
    <w:uiPriority w:val="99"/>
    <w:semiHidden/>
    <w:rsid w:val="00801570"/>
    <w:rPr>
      <w:sz w:val="20"/>
      <w:szCs w:val="20"/>
    </w:rPr>
  </w:style>
  <w:style w:type="character" w:styleId="aa">
    <w:name w:val="footnote reference"/>
    <w:aliases w:val="Знак сноски 1,Знак сноски-FN,Ciae niinee-FN,SUPERS,Referencia nota al pie,fr,Used by Word for Help footnote symbols,16 Point,Superscript 6 Point,BVI fnr,Ciae niinee 1,Footnote Reference Number,ftref,анкета сноска,Ссылка на сноску 45"/>
    <w:basedOn w:val="a0"/>
    <w:uiPriority w:val="99"/>
    <w:semiHidden/>
    <w:unhideWhenUsed/>
    <w:rsid w:val="00801570"/>
    <w:rPr>
      <w:vertAlign w:val="superscript"/>
    </w:rPr>
  </w:style>
  <w:style w:type="character" w:styleId="ab">
    <w:name w:val="Hyperlink"/>
    <w:basedOn w:val="a0"/>
    <w:uiPriority w:val="99"/>
    <w:unhideWhenUsed/>
    <w:rsid w:val="00304636"/>
    <w:rPr>
      <w:color w:val="0563C1" w:themeColor="hyperlink"/>
      <w:u w:val="single"/>
    </w:rPr>
  </w:style>
  <w:style w:type="paragraph" w:customStyle="1" w:styleId="Default">
    <w:name w:val="Default"/>
    <w:rsid w:val="00870765"/>
    <w:pPr>
      <w:autoSpaceDE w:val="0"/>
      <w:autoSpaceDN w:val="0"/>
      <w:adjustRightInd w:val="0"/>
      <w:spacing w:after="0" w:line="240" w:lineRule="auto"/>
    </w:pPr>
    <w:rPr>
      <w:rFonts w:ascii="Times New Roman" w:hAnsi="Times New Roman" w:cs="Times New Roman"/>
      <w:color w:val="000000"/>
      <w:sz w:val="24"/>
      <w:szCs w:val="24"/>
    </w:rPr>
  </w:style>
  <w:style w:type="paragraph" w:styleId="ac">
    <w:name w:val="Balloon Text"/>
    <w:basedOn w:val="a"/>
    <w:link w:val="ad"/>
    <w:uiPriority w:val="99"/>
    <w:semiHidden/>
    <w:unhideWhenUsed/>
    <w:rsid w:val="00270B31"/>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270B31"/>
    <w:rPr>
      <w:rFonts w:ascii="Tahoma" w:hAnsi="Tahoma" w:cs="Tahoma"/>
      <w:sz w:val="16"/>
      <w:szCs w:val="16"/>
    </w:rPr>
  </w:style>
  <w:style w:type="table" w:styleId="ae">
    <w:name w:val="Table Grid"/>
    <w:basedOn w:val="a1"/>
    <w:uiPriority w:val="39"/>
    <w:rsid w:val="002C50A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2698383">
      <w:bodyDiv w:val="1"/>
      <w:marLeft w:val="0"/>
      <w:marRight w:val="0"/>
      <w:marTop w:val="0"/>
      <w:marBottom w:val="0"/>
      <w:divBdr>
        <w:top w:val="none" w:sz="0" w:space="0" w:color="auto"/>
        <w:left w:val="none" w:sz="0" w:space="0" w:color="auto"/>
        <w:bottom w:val="none" w:sz="0" w:space="0" w:color="auto"/>
        <w:right w:val="none" w:sz="0" w:space="0" w:color="auto"/>
      </w:divBdr>
    </w:div>
    <w:div w:id="1514105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depeconom.admhmao.ru/%20wps/portal/ecr/home/celevye-programmy"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5E3CF0-4628-4849-B272-94742E3FA8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29</Pages>
  <Words>6973</Words>
  <Characters>39747</Characters>
  <Application>Microsoft Office Word</Application>
  <DocSecurity>0</DocSecurity>
  <Lines>331</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46627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Кудым Павел Викторович</dc:creator>
  <cp:lastModifiedBy>Лиханова Алла Николаевна</cp:lastModifiedBy>
  <cp:revision>3</cp:revision>
  <cp:lastPrinted>2016-12-05T10:42:00Z</cp:lastPrinted>
  <dcterms:created xsi:type="dcterms:W3CDTF">2016-12-05T09:42:00Z</dcterms:created>
  <dcterms:modified xsi:type="dcterms:W3CDTF">2016-12-05T10:43:00Z</dcterms:modified>
</cp:coreProperties>
</file>